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C864" w14:textId="3A99DE28" w:rsidR="00510940" w:rsidRDefault="00510940" w:rsidP="00510940">
      <w:pPr>
        <w:pStyle w:val="Heading1"/>
        <w:spacing w:before="75" w:line="283" w:lineRule="auto"/>
        <w:ind w:left="0" w:right="95"/>
        <w:jc w:val="right"/>
        <w:rPr>
          <w:b/>
          <w:bCs/>
          <w:color w:val="505050"/>
          <w:sz w:val="24"/>
          <w:szCs w:val="24"/>
          <w:lang w:val="en-GB"/>
        </w:rPr>
      </w:pPr>
      <w:r>
        <w:rPr>
          <w:rFonts w:ascii="Calibri" w:eastAsia="Calibri" w:hAnsi="Calibri" w:cs="Calibri"/>
          <w:b/>
          <w:noProof/>
          <w:color w:val="000000"/>
          <w:sz w:val="28"/>
          <w:szCs w:val="28"/>
        </w:rPr>
        <w:drawing>
          <wp:inline distT="0" distB="0" distL="0" distR="0" wp14:anchorId="3BEC681E" wp14:editId="14580091">
            <wp:extent cx="1501422" cy="779507"/>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72" cy="795212"/>
                    </a:xfrm>
                    <a:prstGeom prst="rect">
                      <a:avLst/>
                    </a:prstGeom>
                    <a:noFill/>
                    <a:ln>
                      <a:noFill/>
                    </a:ln>
                  </pic:spPr>
                </pic:pic>
              </a:graphicData>
            </a:graphic>
          </wp:inline>
        </w:drawing>
      </w:r>
    </w:p>
    <w:p w14:paraId="2A131F05" w14:textId="77777777" w:rsidR="00510940" w:rsidRDefault="00510940" w:rsidP="00510940">
      <w:pPr>
        <w:pStyle w:val="Heading1"/>
        <w:spacing w:before="75" w:line="283" w:lineRule="auto"/>
        <w:ind w:left="0" w:right="2053"/>
        <w:rPr>
          <w:b/>
          <w:bCs/>
          <w:color w:val="505050"/>
          <w:sz w:val="24"/>
          <w:szCs w:val="24"/>
          <w:lang w:val="en-GB"/>
        </w:rPr>
      </w:pPr>
    </w:p>
    <w:p w14:paraId="1757CCE9" w14:textId="77777777" w:rsidR="00551F41" w:rsidRDefault="00510940" w:rsidP="00510940">
      <w:pPr>
        <w:pStyle w:val="Heading1"/>
        <w:spacing w:before="75" w:line="283" w:lineRule="auto"/>
        <w:ind w:left="0" w:right="2053"/>
        <w:rPr>
          <w:b/>
          <w:bCs/>
          <w:color w:val="505050"/>
          <w:sz w:val="24"/>
          <w:szCs w:val="24"/>
          <w:lang w:val="en-GB"/>
        </w:rPr>
      </w:pPr>
      <w:r w:rsidRPr="00410FA7">
        <w:rPr>
          <w:b/>
          <w:bCs/>
          <w:color w:val="505050"/>
          <w:sz w:val="24"/>
          <w:szCs w:val="24"/>
          <w:lang w:val="en-GB"/>
        </w:rPr>
        <w:t xml:space="preserve">LBWF Epping Forest </w:t>
      </w:r>
      <w:r w:rsidR="009172DD">
        <w:rPr>
          <w:b/>
          <w:bCs/>
          <w:color w:val="505050"/>
          <w:sz w:val="24"/>
          <w:szCs w:val="24"/>
          <w:lang w:val="en-GB"/>
        </w:rPr>
        <w:t>Special Area of Conservation (SAC)</w:t>
      </w:r>
    </w:p>
    <w:p w14:paraId="55A3CCC5" w14:textId="6377F235" w:rsidR="00510940" w:rsidRPr="00410FA7" w:rsidRDefault="00510940" w:rsidP="00D03342">
      <w:pPr>
        <w:pStyle w:val="Heading1"/>
        <w:spacing w:before="75" w:line="283" w:lineRule="auto"/>
        <w:ind w:left="0" w:right="95"/>
        <w:rPr>
          <w:b/>
          <w:bCs/>
          <w:color w:val="505050"/>
          <w:sz w:val="24"/>
          <w:szCs w:val="24"/>
          <w:lang w:val="en-GB"/>
        </w:rPr>
      </w:pPr>
      <w:r w:rsidRPr="00410FA7">
        <w:rPr>
          <w:b/>
          <w:bCs/>
          <w:color w:val="505050"/>
          <w:sz w:val="24"/>
          <w:szCs w:val="24"/>
          <w:lang w:val="en-GB"/>
        </w:rPr>
        <w:t xml:space="preserve">Recreational </w:t>
      </w:r>
      <w:r w:rsidR="005F7A43">
        <w:rPr>
          <w:b/>
          <w:bCs/>
          <w:color w:val="505050"/>
          <w:sz w:val="24"/>
          <w:szCs w:val="24"/>
          <w:lang w:val="en-GB"/>
        </w:rPr>
        <w:t>Pressure</w:t>
      </w:r>
      <w:r w:rsidR="00EB4694">
        <w:rPr>
          <w:b/>
          <w:bCs/>
          <w:color w:val="505050"/>
          <w:sz w:val="24"/>
          <w:szCs w:val="24"/>
          <w:lang w:val="en-GB"/>
        </w:rPr>
        <w:t xml:space="preserve"> </w:t>
      </w:r>
      <w:r w:rsidRPr="00410FA7">
        <w:rPr>
          <w:b/>
          <w:bCs/>
          <w:color w:val="505050"/>
          <w:sz w:val="24"/>
          <w:szCs w:val="24"/>
          <w:lang w:val="en-GB"/>
        </w:rPr>
        <w:t>Habitat Regulation Assessment (HRA)</w:t>
      </w:r>
      <w:r w:rsidR="00687F1B">
        <w:rPr>
          <w:b/>
          <w:bCs/>
          <w:color w:val="505050"/>
          <w:sz w:val="24"/>
          <w:szCs w:val="24"/>
          <w:lang w:val="en-GB"/>
        </w:rPr>
        <w:t xml:space="preserve"> Screening and</w:t>
      </w:r>
      <w:r w:rsidR="00CD5701">
        <w:rPr>
          <w:b/>
          <w:bCs/>
          <w:color w:val="505050"/>
          <w:sz w:val="24"/>
          <w:szCs w:val="24"/>
          <w:lang w:val="en-GB"/>
        </w:rPr>
        <w:t xml:space="preserve"> A</w:t>
      </w:r>
      <w:r w:rsidR="00687F1B">
        <w:rPr>
          <w:b/>
          <w:bCs/>
          <w:color w:val="505050"/>
          <w:sz w:val="24"/>
          <w:szCs w:val="24"/>
          <w:lang w:val="en-GB"/>
        </w:rPr>
        <w:t>ppropriate Assessment</w:t>
      </w:r>
      <w:r w:rsidRPr="00410FA7">
        <w:rPr>
          <w:b/>
          <w:bCs/>
          <w:color w:val="505050"/>
          <w:sz w:val="24"/>
          <w:szCs w:val="24"/>
          <w:lang w:val="en-GB"/>
        </w:rPr>
        <w:t xml:space="preserve"> </w:t>
      </w:r>
      <w:r w:rsidR="00D12362">
        <w:rPr>
          <w:b/>
          <w:bCs/>
          <w:color w:val="505050"/>
          <w:sz w:val="24"/>
          <w:szCs w:val="24"/>
          <w:lang w:val="en-GB"/>
        </w:rPr>
        <w:t>T</w:t>
      </w:r>
      <w:r w:rsidRPr="00410FA7">
        <w:rPr>
          <w:b/>
          <w:bCs/>
          <w:color w:val="505050"/>
          <w:sz w:val="24"/>
          <w:szCs w:val="24"/>
          <w:lang w:val="en-GB"/>
        </w:rPr>
        <w:t>emplate</w:t>
      </w:r>
    </w:p>
    <w:p w14:paraId="07F37EDB" w14:textId="77777777" w:rsidR="00510940" w:rsidRPr="00410FA7" w:rsidRDefault="00510940" w:rsidP="00510940">
      <w:pPr>
        <w:pStyle w:val="Heading1"/>
        <w:spacing w:before="75" w:line="283" w:lineRule="auto"/>
        <w:ind w:right="2053"/>
        <w:rPr>
          <w:b/>
          <w:bCs/>
          <w:color w:val="505050"/>
          <w:sz w:val="24"/>
          <w:szCs w:val="24"/>
          <w:lang w:val="en-GB"/>
        </w:rPr>
      </w:pPr>
    </w:p>
    <w:p w14:paraId="02461745" w14:textId="77777777" w:rsidR="007E75D8" w:rsidRDefault="00510940" w:rsidP="00510940">
      <w:pPr>
        <w:pStyle w:val="Heading1"/>
        <w:spacing w:before="75" w:line="283" w:lineRule="auto"/>
        <w:ind w:left="0" w:right="119"/>
        <w:jc w:val="both"/>
        <w:rPr>
          <w:color w:val="505050"/>
          <w:sz w:val="20"/>
          <w:szCs w:val="20"/>
          <w:lang w:val="en-GB"/>
        </w:rPr>
      </w:pPr>
      <w:r w:rsidRPr="00127E1A">
        <w:rPr>
          <w:color w:val="505050"/>
          <w:sz w:val="20"/>
          <w:szCs w:val="20"/>
          <w:lang w:val="en-GB"/>
        </w:rPr>
        <w:t xml:space="preserve">Undertaking the HRA process is the responsibility of the decision maker as the Competent Authority for the purpose of the Habitats Regulations. However, it is the responsibility of the applicant to provide the Competent Authority with the information that they require for this purpose. </w:t>
      </w:r>
      <w:r w:rsidR="003379C6">
        <w:rPr>
          <w:color w:val="505050"/>
          <w:sz w:val="20"/>
          <w:szCs w:val="20"/>
          <w:lang w:val="en-GB"/>
        </w:rPr>
        <w:t xml:space="preserve">Please provide as much information as you can below. </w:t>
      </w:r>
    </w:p>
    <w:p w14:paraId="0FB46F07" w14:textId="77777777" w:rsidR="007E75D8" w:rsidRDefault="007E75D8" w:rsidP="00510940">
      <w:pPr>
        <w:pStyle w:val="Heading1"/>
        <w:spacing w:before="75" w:line="283" w:lineRule="auto"/>
        <w:ind w:left="0" w:right="119"/>
        <w:jc w:val="both"/>
        <w:rPr>
          <w:color w:val="505050"/>
          <w:sz w:val="20"/>
          <w:szCs w:val="20"/>
          <w:lang w:val="en-GB"/>
        </w:rPr>
      </w:pPr>
    </w:p>
    <w:p w14:paraId="0D280BA7" w14:textId="55F76A43" w:rsidR="00510940" w:rsidRPr="00127E1A" w:rsidRDefault="00510940" w:rsidP="00510940">
      <w:pPr>
        <w:pStyle w:val="Heading1"/>
        <w:spacing w:before="75" w:line="283" w:lineRule="auto"/>
        <w:ind w:left="0" w:right="119"/>
        <w:jc w:val="both"/>
        <w:rPr>
          <w:color w:val="505050"/>
          <w:sz w:val="20"/>
          <w:szCs w:val="20"/>
          <w:lang w:val="en-GB"/>
        </w:rPr>
      </w:pPr>
      <w:r w:rsidRPr="00127E1A">
        <w:rPr>
          <w:color w:val="505050"/>
          <w:sz w:val="20"/>
          <w:szCs w:val="20"/>
          <w:lang w:val="en-GB"/>
        </w:rPr>
        <w:t>This template is to be used only for</w:t>
      </w:r>
      <w:r w:rsidR="001E5835" w:rsidRPr="00127E1A">
        <w:rPr>
          <w:color w:val="505050"/>
          <w:sz w:val="20"/>
          <w:szCs w:val="20"/>
          <w:lang w:val="en-GB"/>
        </w:rPr>
        <w:t xml:space="preserve"> applications that would result in the creation of 1 </w:t>
      </w:r>
      <w:r w:rsidR="00224102" w:rsidRPr="00127E1A">
        <w:rPr>
          <w:color w:val="505050"/>
          <w:sz w:val="20"/>
          <w:szCs w:val="20"/>
          <w:lang w:val="en-GB"/>
        </w:rPr>
        <w:t xml:space="preserve">or more </w:t>
      </w:r>
      <w:r w:rsidR="001E5835" w:rsidRPr="00127E1A">
        <w:rPr>
          <w:color w:val="505050"/>
          <w:sz w:val="20"/>
          <w:szCs w:val="20"/>
          <w:lang w:val="en-GB"/>
        </w:rPr>
        <w:t>new dwellings (net) in the London Borough of Waltham Forest</w:t>
      </w:r>
      <w:r w:rsidR="00061166" w:rsidRPr="00127E1A">
        <w:rPr>
          <w:color w:val="505050"/>
          <w:sz w:val="20"/>
          <w:szCs w:val="20"/>
          <w:lang w:val="en-GB"/>
        </w:rPr>
        <w:t xml:space="preserve">, where recreational pressures are the only HRA issue. If the application site is </w:t>
      </w:r>
      <w:r w:rsidR="00224102" w:rsidRPr="00127E1A">
        <w:rPr>
          <w:color w:val="505050"/>
          <w:sz w:val="20"/>
          <w:szCs w:val="20"/>
          <w:lang w:val="en-GB"/>
        </w:rPr>
        <w:t xml:space="preserve">400m </w:t>
      </w:r>
      <w:r w:rsidR="00A22A1B" w:rsidRPr="00127E1A">
        <w:rPr>
          <w:color w:val="505050"/>
          <w:sz w:val="20"/>
          <w:szCs w:val="20"/>
          <w:lang w:val="en-GB"/>
        </w:rPr>
        <w:t xml:space="preserve">or less </w:t>
      </w:r>
      <w:r w:rsidR="00224102" w:rsidRPr="00127E1A">
        <w:rPr>
          <w:color w:val="505050"/>
          <w:sz w:val="20"/>
          <w:szCs w:val="20"/>
          <w:lang w:val="en-GB"/>
        </w:rPr>
        <w:t xml:space="preserve">from the </w:t>
      </w:r>
      <w:r w:rsidRPr="00127E1A">
        <w:rPr>
          <w:color w:val="505050"/>
          <w:sz w:val="20"/>
          <w:szCs w:val="20"/>
          <w:lang w:val="en-GB"/>
        </w:rPr>
        <w:t xml:space="preserve">SAC </w:t>
      </w:r>
      <w:r w:rsidR="00224102" w:rsidRPr="00127E1A">
        <w:rPr>
          <w:color w:val="505050"/>
          <w:sz w:val="20"/>
          <w:szCs w:val="20"/>
          <w:lang w:val="en-GB"/>
        </w:rPr>
        <w:t>boundary</w:t>
      </w:r>
      <w:r w:rsidR="00061166" w:rsidRPr="00127E1A">
        <w:rPr>
          <w:color w:val="505050"/>
          <w:sz w:val="20"/>
          <w:szCs w:val="20"/>
          <w:lang w:val="en-GB"/>
        </w:rPr>
        <w:t xml:space="preserve">, </w:t>
      </w:r>
      <w:r w:rsidR="00A22A1B" w:rsidRPr="00127E1A">
        <w:rPr>
          <w:color w:val="505050"/>
          <w:sz w:val="20"/>
          <w:szCs w:val="20"/>
          <w:lang w:val="en-GB"/>
        </w:rPr>
        <w:t>Urban Effects</w:t>
      </w:r>
      <w:r w:rsidR="00D21098" w:rsidRPr="00127E1A">
        <w:rPr>
          <w:color w:val="505050"/>
          <w:sz w:val="20"/>
          <w:szCs w:val="20"/>
          <w:lang w:val="en-GB"/>
        </w:rPr>
        <w:t xml:space="preserve"> </w:t>
      </w:r>
      <w:r w:rsidR="00A22A1B" w:rsidRPr="00127E1A">
        <w:rPr>
          <w:color w:val="505050"/>
          <w:sz w:val="20"/>
          <w:szCs w:val="20"/>
          <w:lang w:val="en-GB"/>
        </w:rPr>
        <w:t>also need to be considered</w:t>
      </w:r>
      <w:r w:rsidR="00D21098" w:rsidRPr="00127E1A">
        <w:rPr>
          <w:color w:val="505050"/>
          <w:sz w:val="20"/>
          <w:szCs w:val="20"/>
          <w:lang w:val="en-GB"/>
        </w:rPr>
        <w:t xml:space="preserve"> and the appropriate HRA </w:t>
      </w:r>
      <w:r w:rsidR="00976528" w:rsidRPr="00127E1A">
        <w:rPr>
          <w:color w:val="505050"/>
          <w:sz w:val="20"/>
          <w:szCs w:val="20"/>
          <w:lang w:val="en-GB"/>
        </w:rPr>
        <w:t xml:space="preserve">screening and appropriate assessment should be filled in. </w:t>
      </w:r>
    </w:p>
    <w:p w14:paraId="2B236FEB" w14:textId="77777777" w:rsidR="00510940" w:rsidRDefault="00510940" w:rsidP="00510940">
      <w:pPr>
        <w:pStyle w:val="Heading1"/>
        <w:spacing w:before="75" w:line="283" w:lineRule="auto"/>
        <w:ind w:left="0" w:right="119"/>
        <w:jc w:val="both"/>
        <w:rPr>
          <w:color w:val="505050"/>
          <w:sz w:val="18"/>
          <w:szCs w:val="18"/>
          <w:lang w:val="en-GB"/>
        </w:rPr>
      </w:pPr>
    </w:p>
    <w:tbl>
      <w:tblPr>
        <w:tblStyle w:val="TableGrid"/>
        <w:tblW w:w="8850"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2689"/>
        <w:gridCol w:w="6161"/>
      </w:tblGrid>
      <w:tr w:rsidR="00510940" w14:paraId="2F3DD88F" w14:textId="77777777" w:rsidTr="003B7C54">
        <w:trPr>
          <w:trHeight w:val="311"/>
        </w:trPr>
        <w:tc>
          <w:tcPr>
            <w:tcW w:w="2689" w:type="dxa"/>
            <w:shd w:val="clear" w:color="auto" w:fill="C5E0B3" w:themeFill="accent6" w:themeFillTint="66"/>
          </w:tcPr>
          <w:p w14:paraId="60C295CA" w14:textId="365824B9" w:rsidR="00BA60AC" w:rsidRPr="006D5888" w:rsidRDefault="00BA60AC" w:rsidP="003B6156">
            <w:pPr>
              <w:pStyle w:val="Heading1"/>
              <w:spacing w:before="75" w:line="283" w:lineRule="auto"/>
              <w:ind w:left="0" w:right="119"/>
              <w:outlineLvl w:val="0"/>
              <w:rPr>
                <w:color w:val="505050"/>
                <w:sz w:val="22"/>
                <w:szCs w:val="22"/>
                <w:lang w:val="en-GB"/>
              </w:rPr>
            </w:pPr>
            <w:r w:rsidRPr="006D5888">
              <w:rPr>
                <w:color w:val="505050"/>
                <w:sz w:val="22"/>
                <w:szCs w:val="22"/>
                <w:lang w:val="en-GB"/>
              </w:rPr>
              <w:t xml:space="preserve">HRA Drafting Date: </w:t>
            </w:r>
          </w:p>
        </w:tc>
        <w:tc>
          <w:tcPr>
            <w:tcW w:w="6161" w:type="dxa"/>
          </w:tcPr>
          <w:p w14:paraId="23F954FB" w14:textId="77777777" w:rsidR="00510940" w:rsidRPr="006D5888" w:rsidRDefault="00510940" w:rsidP="00510940">
            <w:pPr>
              <w:pStyle w:val="Heading1"/>
              <w:spacing w:before="75" w:line="283" w:lineRule="auto"/>
              <w:ind w:left="0" w:right="119"/>
              <w:jc w:val="both"/>
              <w:outlineLvl w:val="0"/>
              <w:rPr>
                <w:color w:val="505050"/>
                <w:sz w:val="22"/>
                <w:szCs w:val="22"/>
                <w:lang w:val="en-GB"/>
              </w:rPr>
            </w:pPr>
          </w:p>
        </w:tc>
      </w:tr>
      <w:tr w:rsidR="00510940" w14:paraId="6F51B584" w14:textId="77777777" w:rsidTr="003B7C54">
        <w:trPr>
          <w:trHeight w:val="293"/>
        </w:trPr>
        <w:tc>
          <w:tcPr>
            <w:tcW w:w="2689" w:type="dxa"/>
            <w:shd w:val="clear" w:color="auto" w:fill="C5E0B3" w:themeFill="accent6" w:themeFillTint="66"/>
          </w:tcPr>
          <w:p w14:paraId="72A9A257" w14:textId="5B0B2A28" w:rsidR="00510940" w:rsidRPr="006D5888" w:rsidRDefault="0006385D" w:rsidP="003B6156">
            <w:pPr>
              <w:pStyle w:val="Heading1"/>
              <w:spacing w:before="75" w:line="283" w:lineRule="auto"/>
              <w:ind w:left="0" w:right="119"/>
              <w:outlineLvl w:val="0"/>
              <w:rPr>
                <w:color w:val="505050"/>
                <w:sz w:val="22"/>
                <w:szCs w:val="22"/>
                <w:lang w:val="en-GB"/>
              </w:rPr>
            </w:pPr>
            <w:r>
              <w:rPr>
                <w:color w:val="505050"/>
                <w:sz w:val="22"/>
                <w:szCs w:val="22"/>
                <w:lang w:val="en-GB"/>
              </w:rPr>
              <w:t xml:space="preserve">HRA Completion Date </w:t>
            </w:r>
          </w:p>
        </w:tc>
        <w:tc>
          <w:tcPr>
            <w:tcW w:w="6161" w:type="dxa"/>
          </w:tcPr>
          <w:p w14:paraId="70C5CCE1" w14:textId="77777777" w:rsidR="00510940" w:rsidRPr="006D5888" w:rsidRDefault="00510940" w:rsidP="00510940">
            <w:pPr>
              <w:pStyle w:val="Heading1"/>
              <w:spacing w:before="75" w:line="283" w:lineRule="auto"/>
              <w:ind w:left="0" w:right="119"/>
              <w:jc w:val="both"/>
              <w:outlineLvl w:val="0"/>
              <w:rPr>
                <w:color w:val="505050"/>
                <w:sz w:val="22"/>
                <w:szCs w:val="22"/>
                <w:lang w:val="en-GB"/>
              </w:rPr>
            </w:pPr>
          </w:p>
        </w:tc>
      </w:tr>
      <w:tr w:rsidR="00510940" w14:paraId="1F3FBEBF" w14:textId="77777777" w:rsidTr="003B7C54">
        <w:trPr>
          <w:trHeight w:val="311"/>
        </w:trPr>
        <w:tc>
          <w:tcPr>
            <w:tcW w:w="2689" w:type="dxa"/>
            <w:shd w:val="clear" w:color="auto" w:fill="C5E0B3" w:themeFill="accent6" w:themeFillTint="66"/>
          </w:tcPr>
          <w:p w14:paraId="2CAD8ACE" w14:textId="661ED1CE" w:rsidR="00510940" w:rsidRPr="000F381E" w:rsidRDefault="0006385D" w:rsidP="003B6156">
            <w:pPr>
              <w:pStyle w:val="Heading1"/>
              <w:spacing w:before="75" w:line="283" w:lineRule="auto"/>
              <w:ind w:left="0" w:right="119"/>
              <w:outlineLvl w:val="0"/>
              <w:rPr>
                <w:color w:val="505050"/>
                <w:sz w:val="22"/>
                <w:szCs w:val="22"/>
                <w:lang w:val="en-GB"/>
              </w:rPr>
            </w:pPr>
            <w:r w:rsidRPr="000F381E">
              <w:rPr>
                <w:color w:val="505050"/>
                <w:sz w:val="22"/>
                <w:szCs w:val="22"/>
                <w:lang w:val="en-GB"/>
              </w:rPr>
              <w:t xml:space="preserve">Application Reference </w:t>
            </w:r>
          </w:p>
        </w:tc>
        <w:tc>
          <w:tcPr>
            <w:tcW w:w="6161" w:type="dxa"/>
          </w:tcPr>
          <w:p w14:paraId="18B2D270" w14:textId="227D41D2" w:rsidR="00510940" w:rsidRPr="000F381E" w:rsidRDefault="00510940" w:rsidP="00510940">
            <w:pPr>
              <w:pStyle w:val="Heading1"/>
              <w:spacing w:before="75" w:line="283" w:lineRule="auto"/>
              <w:ind w:left="0" w:right="119"/>
              <w:jc w:val="both"/>
              <w:outlineLvl w:val="0"/>
              <w:rPr>
                <w:color w:val="505050"/>
                <w:sz w:val="22"/>
                <w:szCs w:val="22"/>
                <w:lang w:val="en-GB"/>
              </w:rPr>
            </w:pPr>
          </w:p>
        </w:tc>
      </w:tr>
      <w:tr w:rsidR="00510940" w14:paraId="4B57E67F" w14:textId="77777777" w:rsidTr="003B7C54">
        <w:trPr>
          <w:trHeight w:val="293"/>
        </w:trPr>
        <w:tc>
          <w:tcPr>
            <w:tcW w:w="2689" w:type="dxa"/>
            <w:shd w:val="clear" w:color="auto" w:fill="C5E0B3" w:themeFill="accent6" w:themeFillTint="66"/>
          </w:tcPr>
          <w:p w14:paraId="6B8577BB" w14:textId="5392BE95" w:rsidR="00510940" w:rsidRPr="006D5888" w:rsidRDefault="00F91B93" w:rsidP="003B6156">
            <w:pPr>
              <w:pStyle w:val="Heading1"/>
              <w:spacing w:before="75" w:line="283" w:lineRule="auto"/>
              <w:ind w:left="0" w:right="119"/>
              <w:outlineLvl w:val="0"/>
              <w:rPr>
                <w:color w:val="505050"/>
                <w:sz w:val="22"/>
                <w:szCs w:val="22"/>
                <w:lang w:val="en-GB"/>
              </w:rPr>
            </w:pPr>
            <w:r>
              <w:rPr>
                <w:color w:val="505050"/>
                <w:sz w:val="22"/>
                <w:szCs w:val="22"/>
                <w:lang w:val="en-GB"/>
              </w:rPr>
              <w:t xml:space="preserve">Application Address </w:t>
            </w:r>
          </w:p>
        </w:tc>
        <w:tc>
          <w:tcPr>
            <w:tcW w:w="6161" w:type="dxa"/>
          </w:tcPr>
          <w:p w14:paraId="7A4F32AC" w14:textId="3A52E829" w:rsidR="00510940" w:rsidRPr="0021654F" w:rsidRDefault="00510940" w:rsidP="00510940">
            <w:pPr>
              <w:pStyle w:val="Heading1"/>
              <w:spacing w:before="75" w:line="283" w:lineRule="auto"/>
              <w:ind w:left="0" w:right="119"/>
              <w:jc w:val="both"/>
              <w:outlineLvl w:val="0"/>
              <w:rPr>
                <w:color w:val="505050"/>
                <w:sz w:val="22"/>
                <w:szCs w:val="22"/>
                <w:lang w:val="en-GB"/>
              </w:rPr>
            </w:pPr>
          </w:p>
        </w:tc>
      </w:tr>
      <w:tr w:rsidR="00976528" w14:paraId="11CDFCEB" w14:textId="77777777" w:rsidTr="003B7C54">
        <w:trPr>
          <w:trHeight w:val="293"/>
        </w:trPr>
        <w:tc>
          <w:tcPr>
            <w:tcW w:w="2689" w:type="dxa"/>
            <w:shd w:val="clear" w:color="auto" w:fill="C5E0B3" w:themeFill="accent6" w:themeFillTint="66"/>
          </w:tcPr>
          <w:p w14:paraId="08B1F8C8" w14:textId="79115D2A" w:rsidR="00976528" w:rsidRDefault="00976528" w:rsidP="003B6156">
            <w:pPr>
              <w:pStyle w:val="Heading1"/>
              <w:spacing w:before="75" w:line="283" w:lineRule="auto"/>
              <w:ind w:left="0" w:right="119"/>
              <w:outlineLvl w:val="0"/>
              <w:rPr>
                <w:color w:val="505050"/>
                <w:sz w:val="22"/>
                <w:szCs w:val="22"/>
                <w:lang w:val="en-GB"/>
              </w:rPr>
            </w:pPr>
            <w:r>
              <w:rPr>
                <w:color w:val="505050"/>
                <w:sz w:val="22"/>
                <w:szCs w:val="22"/>
                <w:lang w:val="en-GB"/>
              </w:rPr>
              <w:t xml:space="preserve">Is the application address 400m </w:t>
            </w:r>
            <w:r w:rsidR="007E75D8">
              <w:rPr>
                <w:color w:val="505050"/>
                <w:sz w:val="22"/>
                <w:szCs w:val="22"/>
                <w:lang w:val="en-GB"/>
              </w:rPr>
              <w:t xml:space="preserve">or more </w:t>
            </w:r>
            <w:r>
              <w:rPr>
                <w:color w:val="505050"/>
                <w:sz w:val="22"/>
                <w:szCs w:val="22"/>
                <w:lang w:val="en-GB"/>
              </w:rPr>
              <w:t>from the Epping Forest SAC boundary?</w:t>
            </w:r>
            <w:r w:rsidR="00616934">
              <w:rPr>
                <w:color w:val="505050"/>
                <w:sz w:val="22"/>
                <w:szCs w:val="22"/>
                <w:lang w:val="en-GB"/>
              </w:rPr>
              <w:t xml:space="preserve"> </w:t>
            </w:r>
          </w:p>
        </w:tc>
        <w:tc>
          <w:tcPr>
            <w:tcW w:w="6161" w:type="dxa"/>
          </w:tcPr>
          <w:p w14:paraId="1C421DF6" w14:textId="4908BECD" w:rsidR="00616934" w:rsidRDefault="00F507D9" w:rsidP="00510940">
            <w:pPr>
              <w:pStyle w:val="Heading1"/>
              <w:spacing w:before="75" w:line="283" w:lineRule="auto"/>
              <w:ind w:left="0" w:right="119"/>
              <w:jc w:val="both"/>
              <w:outlineLvl w:val="0"/>
              <w:rPr>
                <w:color w:val="505050"/>
                <w:sz w:val="20"/>
                <w:szCs w:val="20"/>
                <w:lang w:val="en-GB"/>
              </w:rPr>
            </w:pPr>
            <w:r>
              <w:rPr>
                <w:color w:val="505050"/>
                <w:sz w:val="20"/>
                <w:szCs w:val="20"/>
                <w:lang w:val="en-GB"/>
              </w:rPr>
              <w:t xml:space="preserve">Yes </w:t>
            </w:r>
            <w:sdt>
              <w:sdtPr>
                <w:rPr>
                  <w:color w:val="505050"/>
                  <w:sz w:val="20"/>
                  <w:szCs w:val="20"/>
                  <w:lang w:val="en-GB"/>
                </w:rPr>
                <w:id w:val="1713147942"/>
                <w14:checkbox>
                  <w14:checked w14:val="0"/>
                  <w14:checkedState w14:val="2612" w14:font="MS Gothic"/>
                  <w14:uncheckedState w14:val="2610" w14:font="MS Gothic"/>
                </w14:checkbox>
              </w:sdtPr>
              <w:sdtEndPr/>
              <w:sdtContent>
                <w:r>
                  <w:rPr>
                    <w:rFonts w:ascii="MS Gothic" w:eastAsia="MS Gothic" w:hAnsi="MS Gothic" w:hint="eastAsia"/>
                    <w:color w:val="505050"/>
                    <w:sz w:val="20"/>
                    <w:szCs w:val="20"/>
                    <w:lang w:val="en-GB"/>
                  </w:rPr>
                  <w:t>☐</w:t>
                </w:r>
              </w:sdtContent>
            </w:sdt>
          </w:p>
          <w:p w14:paraId="7E8C0F56" w14:textId="6F8C9C48" w:rsidR="00616934" w:rsidRDefault="00F507D9" w:rsidP="00510940">
            <w:pPr>
              <w:pStyle w:val="Heading1"/>
              <w:spacing w:before="75" w:line="283" w:lineRule="auto"/>
              <w:ind w:left="0" w:right="119"/>
              <w:jc w:val="both"/>
              <w:outlineLvl w:val="0"/>
              <w:rPr>
                <w:color w:val="505050"/>
                <w:sz w:val="20"/>
                <w:szCs w:val="20"/>
                <w:lang w:val="en-GB"/>
              </w:rPr>
            </w:pPr>
            <w:r>
              <w:rPr>
                <w:color w:val="505050"/>
                <w:sz w:val="20"/>
                <w:szCs w:val="20"/>
                <w:lang w:val="en-GB"/>
              </w:rPr>
              <w:t xml:space="preserve">No  </w:t>
            </w:r>
            <w:sdt>
              <w:sdtPr>
                <w:rPr>
                  <w:color w:val="505050"/>
                  <w:sz w:val="20"/>
                  <w:szCs w:val="20"/>
                  <w:lang w:val="en-GB"/>
                </w:rPr>
                <w:id w:val="-1686667773"/>
                <w14:checkbox>
                  <w14:checked w14:val="0"/>
                  <w14:checkedState w14:val="2612" w14:font="MS Gothic"/>
                  <w14:uncheckedState w14:val="2610" w14:font="MS Gothic"/>
                </w14:checkbox>
              </w:sdtPr>
              <w:sdtEndPr/>
              <w:sdtContent>
                <w:r>
                  <w:rPr>
                    <w:rFonts w:ascii="MS Gothic" w:eastAsia="MS Gothic" w:hAnsi="MS Gothic" w:hint="eastAsia"/>
                    <w:color w:val="505050"/>
                    <w:sz w:val="20"/>
                    <w:szCs w:val="20"/>
                    <w:lang w:val="en-GB"/>
                  </w:rPr>
                  <w:t>☐</w:t>
                </w:r>
              </w:sdtContent>
            </w:sdt>
          </w:p>
          <w:p w14:paraId="2EA1D751" w14:textId="2F843904" w:rsidR="00976528" w:rsidRPr="0021654F" w:rsidRDefault="00616934" w:rsidP="00510940">
            <w:pPr>
              <w:pStyle w:val="Heading1"/>
              <w:spacing w:before="75" w:line="283" w:lineRule="auto"/>
              <w:ind w:left="0" w:right="119"/>
              <w:jc w:val="both"/>
              <w:outlineLvl w:val="0"/>
              <w:rPr>
                <w:color w:val="505050"/>
                <w:sz w:val="22"/>
                <w:szCs w:val="22"/>
                <w:lang w:val="en-GB"/>
              </w:rPr>
            </w:pPr>
            <w:r w:rsidRPr="00616934">
              <w:rPr>
                <w:color w:val="505050"/>
                <w:sz w:val="20"/>
                <w:szCs w:val="20"/>
                <w:lang w:val="en-GB"/>
              </w:rPr>
              <w:t>If yes, Urban Effects can be screened out. If no, please complete the relevant HRA template from the Council’s website.</w:t>
            </w:r>
          </w:p>
        </w:tc>
      </w:tr>
      <w:tr w:rsidR="00510940" w14:paraId="51BA3D5A" w14:textId="77777777" w:rsidTr="003B7C54">
        <w:trPr>
          <w:trHeight w:val="311"/>
        </w:trPr>
        <w:tc>
          <w:tcPr>
            <w:tcW w:w="2689" w:type="dxa"/>
            <w:shd w:val="clear" w:color="auto" w:fill="C5E0B3" w:themeFill="accent6" w:themeFillTint="66"/>
          </w:tcPr>
          <w:p w14:paraId="06327347" w14:textId="713EBA09" w:rsidR="00510940" w:rsidRPr="006D5888" w:rsidRDefault="00F91B93" w:rsidP="003B6156">
            <w:pPr>
              <w:pStyle w:val="Heading1"/>
              <w:spacing w:before="75" w:line="283" w:lineRule="auto"/>
              <w:ind w:left="0" w:right="119"/>
              <w:outlineLvl w:val="0"/>
              <w:rPr>
                <w:color w:val="505050"/>
                <w:sz w:val="22"/>
                <w:szCs w:val="22"/>
                <w:lang w:val="en-GB"/>
              </w:rPr>
            </w:pPr>
            <w:r>
              <w:rPr>
                <w:color w:val="505050"/>
                <w:sz w:val="22"/>
                <w:szCs w:val="22"/>
                <w:lang w:val="en-GB"/>
              </w:rPr>
              <w:t xml:space="preserve">Application Description </w:t>
            </w:r>
          </w:p>
        </w:tc>
        <w:tc>
          <w:tcPr>
            <w:tcW w:w="6161" w:type="dxa"/>
          </w:tcPr>
          <w:p w14:paraId="59BC45C4" w14:textId="77777777" w:rsidR="00510940" w:rsidRDefault="00510940" w:rsidP="00510940">
            <w:pPr>
              <w:pStyle w:val="Heading1"/>
              <w:spacing w:before="75" w:line="283" w:lineRule="auto"/>
              <w:ind w:left="0" w:right="119"/>
              <w:jc w:val="both"/>
              <w:outlineLvl w:val="0"/>
              <w:rPr>
                <w:color w:val="505050"/>
                <w:sz w:val="22"/>
                <w:szCs w:val="22"/>
                <w:lang w:val="en-GB"/>
              </w:rPr>
            </w:pPr>
          </w:p>
          <w:p w14:paraId="2C3F7DF0" w14:textId="77777777" w:rsidR="005F649A" w:rsidRDefault="005F649A" w:rsidP="00510940">
            <w:pPr>
              <w:pStyle w:val="Heading1"/>
              <w:spacing w:before="75" w:line="283" w:lineRule="auto"/>
              <w:ind w:left="0" w:right="119"/>
              <w:jc w:val="both"/>
              <w:outlineLvl w:val="0"/>
              <w:rPr>
                <w:color w:val="505050"/>
                <w:sz w:val="22"/>
                <w:szCs w:val="22"/>
                <w:lang w:val="en-GB"/>
              </w:rPr>
            </w:pPr>
          </w:p>
          <w:p w14:paraId="587D15CD" w14:textId="26CD4792" w:rsidR="005F649A" w:rsidRPr="00DC3DD0" w:rsidRDefault="005F649A" w:rsidP="00510940">
            <w:pPr>
              <w:pStyle w:val="Heading1"/>
              <w:spacing w:before="75" w:line="283" w:lineRule="auto"/>
              <w:ind w:left="0" w:right="119"/>
              <w:jc w:val="both"/>
              <w:outlineLvl w:val="0"/>
              <w:rPr>
                <w:color w:val="505050"/>
                <w:sz w:val="22"/>
                <w:szCs w:val="22"/>
                <w:lang w:val="en-GB"/>
              </w:rPr>
            </w:pPr>
          </w:p>
        </w:tc>
      </w:tr>
      <w:tr w:rsidR="00510940" w14:paraId="2BC8B769" w14:textId="77777777" w:rsidTr="003B7C54">
        <w:trPr>
          <w:trHeight w:val="293"/>
        </w:trPr>
        <w:tc>
          <w:tcPr>
            <w:tcW w:w="2689" w:type="dxa"/>
            <w:shd w:val="clear" w:color="auto" w:fill="C5E0B3" w:themeFill="accent6" w:themeFillTint="66"/>
          </w:tcPr>
          <w:p w14:paraId="70D08467" w14:textId="6A5CFC77" w:rsidR="00510940" w:rsidRPr="006D5888" w:rsidRDefault="00C05DA3" w:rsidP="003B6156">
            <w:pPr>
              <w:pStyle w:val="Heading1"/>
              <w:spacing w:before="75" w:line="283" w:lineRule="auto"/>
              <w:ind w:left="0" w:right="119"/>
              <w:outlineLvl w:val="0"/>
              <w:rPr>
                <w:color w:val="505050"/>
                <w:sz w:val="22"/>
                <w:szCs w:val="22"/>
                <w:lang w:val="en-GB"/>
              </w:rPr>
            </w:pPr>
            <w:r>
              <w:rPr>
                <w:color w:val="505050"/>
                <w:sz w:val="22"/>
                <w:szCs w:val="22"/>
                <w:lang w:val="en-GB"/>
              </w:rPr>
              <w:t>Lead Planning Officer</w:t>
            </w:r>
            <w:r w:rsidR="005F649A">
              <w:rPr>
                <w:color w:val="505050"/>
                <w:sz w:val="22"/>
                <w:szCs w:val="22"/>
                <w:lang w:val="en-GB"/>
              </w:rPr>
              <w:t xml:space="preserve"> </w:t>
            </w:r>
          </w:p>
        </w:tc>
        <w:tc>
          <w:tcPr>
            <w:tcW w:w="6161" w:type="dxa"/>
          </w:tcPr>
          <w:p w14:paraId="0A74540A" w14:textId="77777777" w:rsidR="00510940" w:rsidRPr="006D5888" w:rsidRDefault="00510940" w:rsidP="00510940">
            <w:pPr>
              <w:pStyle w:val="Heading1"/>
              <w:spacing w:before="75" w:line="283" w:lineRule="auto"/>
              <w:ind w:left="0" w:right="119"/>
              <w:jc w:val="both"/>
              <w:outlineLvl w:val="0"/>
              <w:rPr>
                <w:color w:val="505050"/>
                <w:sz w:val="22"/>
                <w:szCs w:val="22"/>
                <w:lang w:val="en-GB"/>
              </w:rPr>
            </w:pPr>
          </w:p>
        </w:tc>
      </w:tr>
      <w:tr w:rsidR="006D5888" w14:paraId="496BEFF5" w14:textId="77777777" w:rsidTr="00C27B40">
        <w:trPr>
          <w:trHeight w:val="293"/>
        </w:trPr>
        <w:tc>
          <w:tcPr>
            <w:tcW w:w="8850" w:type="dxa"/>
            <w:gridSpan w:val="2"/>
          </w:tcPr>
          <w:p w14:paraId="4899A56C" w14:textId="2AC59CAD" w:rsidR="006D5888" w:rsidRPr="006D5888" w:rsidRDefault="003B7C54" w:rsidP="00510940">
            <w:pPr>
              <w:pStyle w:val="Heading1"/>
              <w:spacing w:before="75" w:line="283" w:lineRule="auto"/>
              <w:ind w:left="0" w:right="119"/>
              <w:jc w:val="both"/>
              <w:outlineLvl w:val="0"/>
              <w:rPr>
                <w:color w:val="505050"/>
                <w:sz w:val="22"/>
                <w:szCs w:val="22"/>
                <w:lang w:val="en-GB"/>
              </w:rPr>
            </w:pPr>
            <w:r>
              <w:rPr>
                <w:sz w:val="16"/>
              </w:rPr>
              <w:t>Please note that all references in this assessment to the ‘Habitats Regulations’ refer to The Conservation of Habitats and Species Regulations 2017 (as amended).</w:t>
            </w:r>
          </w:p>
        </w:tc>
      </w:tr>
    </w:tbl>
    <w:p w14:paraId="23565082" w14:textId="0F7D1751" w:rsidR="00510940" w:rsidRDefault="00510940" w:rsidP="00510940">
      <w:pPr>
        <w:pStyle w:val="Heading1"/>
        <w:spacing w:before="75" w:line="283" w:lineRule="auto"/>
        <w:ind w:left="0" w:right="119"/>
        <w:jc w:val="both"/>
        <w:rPr>
          <w:color w:val="505050"/>
          <w:sz w:val="18"/>
          <w:szCs w:val="18"/>
          <w:lang w:val="en-GB"/>
        </w:rPr>
      </w:pPr>
      <w:r w:rsidRPr="00410FA7">
        <w:rPr>
          <w:color w:val="505050"/>
          <w:sz w:val="18"/>
          <w:szCs w:val="18"/>
          <w:lang w:val="en-GB"/>
        </w:rPr>
        <w:t xml:space="preserve">. </w:t>
      </w:r>
    </w:p>
    <w:p w14:paraId="4CF42709" w14:textId="351A3FB6" w:rsidR="00954B05" w:rsidRDefault="00954B05" w:rsidP="00510940">
      <w:pPr>
        <w:pStyle w:val="Heading1"/>
        <w:spacing w:before="75" w:line="283" w:lineRule="auto"/>
        <w:ind w:left="0" w:right="119"/>
        <w:jc w:val="both"/>
        <w:rPr>
          <w:color w:val="505050"/>
          <w:sz w:val="18"/>
          <w:szCs w:val="18"/>
          <w:lang w:val="en-GB"/>
        </w:rPr>
      </w:pPr>
    </w:p>
    <w:p w14:paraId="4B0B00C8" w14:textId="0029E66E" w:rsidR="00954B05" w:rsidRDefault="00954B05" w:rsidP="00510940">
      <w:pPr>
        <w:pStyle w:val="Heading1"/>
        <w:spacing w:before="75" w:line="283" w:lineRule="auto"/>
        <w:ind w:left="0" w:right="119"/>
        <w:jc w:val="both"/>
        <w:rPr>
          <w:color w:val="505050"/>
          <w:sz w:val="18"/>
          <w:szCs w:val="18"/>
          <w:lang w:val="en-GB"/>
        </w:rPr>
      </w:pPr>
    </w:p>
    <w:p w14:paraId="6279C168" w14:textId="73FD9C81" w:rsidR="00954B05" w:rsidRDefault="00954B05" w:rsidP="00510940">
      <w:pPr>
        <w:pStyle w:val="Heading1"/>
        <w:spacing w:before="75" w:line="283" w:lineRule="auto"/>
        <w:ind w:left="0" w:right="119"/>
        <w:jc w:val="both"/>
        <w:rPr>
          <w:color w:val="505050"/>
          <w:sz w:val="18"/>
          <w:szCs w:val="18"/>
          <w:lang w:val="en-GB"/>
        </w:rPr>
      </w:pPr>
    </w:p>
    <w:p w14:paraId="6369F467" w14:textId="72D1F0DA" w:rsidR="00954B05" w:rsidRDefault="00954B05" w:rsidP="00510940">
      <w:pPr>
        <w:pStyle w:val="Heading1"/>
        <w:spacing w:before="75" w:line="283" w:lineRule="auto"/>
        <w:ind w:left="0" w:right="119"/>
        <w:jc w:val="both"/>
        <w:rPr>
          <w:color w:val="505050"/>
          <w:sz w:val="18"/>
          <w:szCs w:val="18"/>
          <w:lang w:val="en-GB"/>
        </w:rPr>
      </w:pPr>
    </w:p>
    <w:p w14:paraId="7B11C870" w14:textId="74436A98" w:rsidR="00954B05" w:rsidRDefault="00954B05" w:rsidP="00510940">
      <w:pPr>
        <w:pStyle w:val="Heading1"/>
        <w:spacing w:before="75" w:line="283" w:lineRule="auto"/>
        <w:ind w:left="0" w:right="119"/>
        <w:jc w:val="both"/>
        <w:rPr>
          <w:color w:val="505050"/>
          <w:sz w:val="18"/>
          <w:szCs w:val="18"/>
          <w:lang w:val="en-GB"/>
        </w:rPr>
      </w:pPr>
    </w:p>
    <w:p w14:paraId="595D3770" w14:textId="6824A504" w:rsidR="00954B05" w:rsidRDefault="00954B05" w:rsidP="00510940">
      <w:pPr>
        <w:pStyle w:val="Heading1"/>
        <w:spacing w:before="75" w:line="283" w:lineRule="auto"/>
        <w:ind w:left="0" w:right="119"/>
        <w:jc w:val="both"/>
        <w:rPr>
          <w:color w:val="505050"/>
          <w:sz w:val="18"/>
          <w:szCs w:val="18"/>
          <w:lang w:val="en-GB"/>
        </w:rPr>
      </w:pPr>
    </w:p>
    <w:p w14:paraId="60DB88C8" w14:textId="611B43EF" w:rsidR="00954B05" w:rsidRDefault="00954B05" w:rsidP="00510940">
      <w:pPr>
        <w:pStyle w:val="Heading1"/>
        <w:spacing w:before="75" w:line="283" w:lineRule="auto"/>
        <w:ind w:left="0" w:right="119"/>
        <w:jc w:val="both"/>
        <w:rPr>
          <w:color w:val="505050"/>
          <w:sz w:val="18"/>
          <w:szCs w:val="18"/>
          <w:lang w:val="en-GB"/>
        </w:rPr>
      </w:pPr>
    </w:p>
    <w:tbl>
      <w:tblPr>
        <w:tblStyle w:val="TableGrid"/>
        <w:tblW w:w="8850" w:type="dxa"/>
        <w:tblLook w:val="04A0" w:firstRow="1" w:lastRow="0" w:firstColumn="1" w:lastColumn="0" w:noHBand="0" w:noVBand="1"/>
      </w:tblPr>
      <w:tblGrid>
        <w:gridCol w:w="4106"/>
        <w:gridCol w:w="4744"/>
      </w:tblGrid>
      <w:tr w:rsidR="00B80156" w:rsidRPr="00B80156" w14:paraId="7548B3A8" w14:textId="77777777" w:rsidTr="00B80156">
        <w:trPr>
          <w:trHeight w:val="267"/>
        </w:trPr>
        <w:tc>
          <w:tcPr>
            <w:tcW w:w="0" w:type="auto"/>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538135" w:themeFill="accent6" w:themeFillShade="BF"/>
          </w:tcPr>
          <w:p w14:paraId="1D2A27E1" w14:textId="5B2EF175" w:rsidR="00F4731C" w:rsidRPr="006E0A03" w:rsidRDefault="0027273F">
            <w:pPr>
              <w:rPr>
                <w:rFonts w:ascii="Arial" w:hAnsi="Arial" w:cs="Arial"/>
                <w:b/>
                <w:bCs/>
                <w:color w:val="FFFFFF" w:themeColor="background1"/>
                <w:sz w:val="24"/>
                <w:szCs w:val="24"/>
              </w:rPr>
            </w:pPr>
            <w:r w:rsidRPr="006E0A03">
              <w:rPr>
                <w:rFonts w:ascii="Arial" w:hAnsi="Arial" w:cs="Arial"/>
                <w:b/>
                <w:bCs/>
                <w:color w:val="FFFFFF" w:themeColor="background1"/>
                <w:sz w:val="24"/>
                <w:szCs w:val="24"/>
              </w:rPr>
              <w:lastRenderedPageBreak/>
              <w:t>Stage 1: Details of the Plan or Project</w:t>
            </w:r>
          </w:p>
        </w:tc>
      </w:tr>
      <w:tr w:rsidR="00161A8B" w14:paraId="4972223C" w14:textId="77777777" w:rsidTr="001C1FA3">
        <w:trPr>
          <w:trHeight w:val="249"/>
        </w:trPr>
        <w:tc>
          <w:tcPr>
            <w:tcW w:w="4106" w:type="dxa"/>
            <w:tcBorders>
              <w:top w:val="single" w:sz="4" w:space="0" w:color="385623" w:themeColor="accent6" w:themeShade="80"/>
            </w:tcBorders>
            <w:shd w:val="clear" w:color="auto" w:fill="C5E0B3" w:themeFill="accent6" w:themeFillTint="66"/>
          </w:tcPr>
          <w:p w14:paraId="01213AD5" w14:textId="31460474" w:rsidR="00161A8B" w:rsidRPr="001C1FA3" w:rsidRDefault="00B71075">
            <w:pPr>
              <w:rPr>
                <w:rFonts w:ascii="Arial" w:hAnsi="Arial" w:cs="Arial"/>
              </w:rPr>
            </w:pPr>
            <w:r w:rsidRPr="001C1FA3">
              <w:rPr>
                <w:rFonts w:ascii="Arial" w:hAnsi="Arial" w:cs="Arial"/>
                <w:color w:val="505050"/>
              </w:rPr>
              <w:t>European site potentially impacted by planning application, plan or project:</w:t>
            </w:r>
          </w:p>
        </w:tc>
        <w:tc>
          <w:tcPr>
            <w:tcW w:w="4744" w:type="dxa"/>
            <w:tcBorders>
              <w:top w:val="single" w:sz="4" w:space="0" w:color="385623" w:themeColor="accent6" w:themeShade="80"/>
            </w:tcBorders>
          </w:tcPr>
          <w:p w14:paraId="4C660AF1" w14:textId="5A6E0564" w:rsidR="00B81C3E" w:rsidRPr="007166DB" w:rsidRDefault="00B81C3E" w:rsidP="00B81C3E">
            <w:pPr>
              <w:pStyle w:val="TableParagraph"/>
              <w:tabs>
                <w:tab w:val="left" w:pos="497"/>
                <w:tab w:val="left" w:pos="498"/>
              </w:tabs>
              <w:spacing w:before="37"/>
            </w:pPr>
            <w:r w:rsidRPr="007166DB">
              <w:t>Epping Forest Special Area of Conservation (SAC)</w:t>
            </w:r>
          </w:p>
          <w:p w14:paraId="49D1B793" w14:textId="0D7C71F9" w:rsidR="00954B05" w:rsidRPr="007166DB" w:rsidRDefault="00954B05" w:rsidP="00B81C3E">
            <w:pPr>
              <w:pStyle w:val="TableParagraph"/>
              <w:tabs>
                <w:tab w:val="left" w:pos="497"/>
                <w:tab w:val="left" w:pos="498"/>
              </w:tabs>
              <w:spacing w:before="37"/>
            </w:pPr>
          </w:p>
          <w:p w14:paraId="7A2D22B0" w14:textId="3098B3D9" w:rsidR="00954B05" w:rsidRPr="007166DB" w:rsidRDefault="00954B05" w:rsidP="00B81C3E">
            <w:pPr>
              <w:pStyle w:val="TableParagraph"/>
              <w:tabs>
                <w:tab w:val="left" w:pos="497"/>
                <w:tab w:val="left" w:pos="498"/>
              </w:tabs>
              <w:spacing w:before="37"/>
            </w:pPr>
            <w:r w:rsidRPr="007166DB">
              <w:rPr>
                <w:noProof/>
              </w:rPr>
              <w:drawing>
                <wp:inline distT="0" distB="0" distL="0" distR="0" wp14:anchorId="6D3853B0" wp14:editId="65A6A955">
                  <wp:extent cx="824027" cy="1303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9029" cy="1326838"/>
                          </a:xfrm>
                          <a:prstGeom prst="rect">
                            <a:avLst/>
                          </a:prstGeom>
                        </pic:spPr>
                      </pic:pic>
                    </a:graphicData>
                  </a:graphic>
                </wp:inline>
              </w:drawing>
            </w:r>
          </w:p>
          <w:p w14:paraId="72DAA829" w14:textId="77777777" w:rsidR="00161A8B" w:rsidRPr="007166DB" w:rsidRDefault="00161A8B">
            <w:pPr>
              <w:rPr>
                <w:rFonts w:ascii="Arial" w:hAnsi="Arial" w:cs="Arial"/>
              </w:rPr>
            </w:pPr>
          </w:p>
        </w:tc>
      </w:tr>
      <w:tr w:rsidR="00161A8B" w14:paraId="4860EAD9" w14:textId="77777777" w:rsidTr="001C1FA3">
        <w:trPr>
          <w:trHeight w:val="267"/>
        </w:trPr>
        <w:tc>
          <w:tcPr>
            <w:tcW w:w="4106" w:type="dxa"/>
            <w:shd w:val="clear" w:color="auto" w:fill="C5E0B3" w:themeFill="accent6" w:themeFillTint="66"/>
          </w:tcPr>
          <w:p w14:paraId="3A98280C" w14:textId="1506D74F" w:rsidR="00161A8B" w:rsidRPr="001C1FA3" w:rsidRDefault="006E42A8">
            <w:pPr>
              <w:rPr>
                <w:rFonts w:ascii="Arial" w:hAnsi="Arial" w:cs="Arial"/>
              </w:rPr>
            </w:pPr>
            <w:r w:rsidRPr="001C1FA3">
              <w:rPr>
                <w:rFonts w:ascii="Arial" w:hAnsi="Arial" w:cs="Arial"/>
                <w:color w:val="505050"/>
              </w:rPr>
              <w:t>Is the planning application directly connected with or necessary to the management of the site (if yes, Applicant should have provided details)?</w:t>
            </w:r>
          </w:p>
        </w:tc>
        <w:tc>
          <w:tcPr>
            <w:tcW w:w="4744" w:type="dxa"/>
          </w:tcPr>
          <w:p w14:paraId="688B4B8F" w14:textId="77777777" w:rsidR="000E21D7" w:rsidRPr="007166DB" w:rsidRDefault="000E21D7" w:rsidP="001B2370">
            <w:pPr>
              <w:pStyle w:val="TableParagraph"/>
              <w:spacing w:before="56"/>
              <w:ind w:left="0" w:firstLine="34"/>
            </w:pPr>
            <w:r w:rsidRPr="007166DB">
              <w:t>No.</w:t>
            </w:r>
          </w:p>
          <w:p w14:paraId="7A451C70" w14:textId="13F62B41" w:rsidR="00161A8B" w:rsidRPr="007166DB" w:rsidRDefault="000E21D7" w:rsidP="000E21D7">
            <w:pPr>
              <w:rPr>
                <w:rFonts w:ascii="Arial" w:hAnsi="Arial" w:cs="Arial"/>
              </w:rPr>
            </w:pPr>
            <w:r w:rsidRPr="007166DB">
              <w:rPr>
                <w:rFonts w:ascii="Arial" w:hAnsi="Arial" w:cs="Arial"/>
              </w:rPr>
              <w:t>The development proposal is for an increase in residential dwellings. This is neither connected to nor necessary to the management of any European</w:t>
            </w:r>
            <w:r w:rsidRPr="007166DB">
              <w:rPr>
                <w:rFonts w:ascii="Arial" w:hAnsi="Arial" w:cs="Arial"/>
                <w:spacing w:val="-1"/>
              </w:rPr>
              <w:t xml:space="preserve"> </w:t>
            </w:r>
            <w:r w:rsidRPr="007166DB">
              <w:rPr>
                <w:rFonts w:ascii="Arial" w:hAnsi="Arial" w:cs="Arial"/>
              </w:rPr>
              <w:t>site.</w:t>
            </w:r>
          </w:p>
        </w:tc>
      </w:tr>
      <w:tr w:rsidR="00161A8B" w14:paraId="3BA492C6" w14:textId="77777777" w:rsidTr="001C1FA3">
        <w:trPr>
          <w:trHeight w:val="249"/>
        </w:trPr>
        <w:tc>
          <w:tcPr>
            <w:tcW w:w="4106" w:type="dxa"/>
            <w:shd w:val="clear" w:color="auto" w:fill="C5E0B3" w:themeFill="accent6" w:themeFillTint="66"/>
          </w:tcPr>
          <w:p w14:paraId="491E71E8" w14:textId="4BA3FD31" w:rsidR="00161A8B" w:rsidRPr="001C1FA3" w:rsidRDefault="001C1FA3">
            <w:pPr>
              <w:rPr>
                <w:rFonts w:ascii="Arial" w:hAnsi="Arial" w:cs="Arial"/>
              </w:rPr>
            </w:pPr>
            <w:r w:rsidRPr="001C1FA3">
              <w:rPr>
                <w:rFonts w:ascii="Arial" w:hAnsi="Arial" w:cs="Arial"/>
                <w:color w:val="505050"/>
              </w:rPr>
              <w:t>Are there any other projects or plans that together with the planning application being assessed could affect the site?</w:t>
            </w:r>
          </w:p>
        </w:tc>
        <w:tc>
          <w:tcPr>
            <w:tcW w:w="4744" w:type="dxa"/>
          </w:tcPr>
          <w:p w14:paraId="6787A9EA" w14:textId="77777777" w:rsidR="007166DB" w:rsidRPr="007166DB" w:rsidRDefault="007166DB" w:rsidP="007166DB">
            <w:pPr>
              <w:pStyle w:val="TableParagraph"/>
              <w:spacing w:before="56"/>
              <w:ind w:left="68"/>
            </w:pPr>
            <w:r w:rsidRPr="007166DB">
              <w:t>Yes.</w:t>
            </w:r>
          </w:p>
          <w:p w14:paraId="5A8E55EA" w14:textId="77777777" w:rsidR="007166DB" w:rsidRPr="007166DB" w:rsidRDefault="007166DB" w:rsidP="00CA7DE8">
            <w:pPr>
              <w:pStyle w:val="TableParagraph"/>
              <w:tabs>
                <w:tab w:val="left" w:pos="497"/>
                <w:tab w:val="left" w:pos="498"/>
              </w:tabs>
              <w:spacing w:before="38" w:line="276" w:lineRule="auto"/>
              <w:ind w:right="135"/>
            </w:pPr>
            <w:r w:rsidRPr="007166DB">
              <w:t xml:space="preserve">All new housing development in Waltham Forest falls within the 6.2km Zone Of Influence (ZOI) of the </w:t>
            </w:r>
            <w:r w:rsidRPr="007166DB">
              <w:rPr>
                <w:u w:val="single"/>
              </w:rPr>
              <w:t xml:space="preserve">Epping Forest </w:t>
            </w:r>
            <w:proofErr w:type="gramStart"/>
            <w:r w:rsidRPr="007166DB">
              <w:rPr>
                <w:u w:val="single"/>
              </w:rPr>
              <w:t xml:space="preserve">SAC </w:t>
            </w:r>
            <w:r w:rsidRPr="007166DB">
              <w:t xml:space="preserve"> (</w:t>
            </w:r>
            <w:proofErr w:type="gramEnd"/>
            <w:r w:rsidRPr="007166DB">
              <w:t xml:space="preserve">in addition to development in other local planning authority areas). Such development is considered likely to contribute towards an impact on site integrity </w:t>
            </w:r>
            <w:proofErr w:type="gramStart"/>
            <w:r w:rsidRPr="007166DB">
              <w:t>as a result</w:t>
            </w:r>
            <w:r w:rsidRPr="007166DB">
              <w:rPr>
                <w:spacing w:val="-23"/>
              </w:rPr>
              <w:t xml:space="preserve"> </w:t>
            </w:r>
            <w:r w:rsidRPr="007166DB">
              <w:t>of</w:t>
            </w:r>
            <w:proofErr w:type="gramEnd"/>
            <w:r w:rsidRPr="007166DB">
              <w:t xml:space="preserve"> increased recreational disturbance in combination with other development in the ZOI. </w:t>
            </w:r>
          </w:p>
          <w:p w14:paraId="30049A6A" w14:textId="77777777" w:rsidR="00161A8B" w:rsidRPr="007166DB" w:rsidRDefault="00161A8B">
            <w:pPr>
              <w:rPr>
                <w:rFonts w:ascii="Arial" w:hAnsi="Arial" w:cs="Arial"/>
              </w:rPr>
            </w:pPr>
          </w:p>
        </w:tc>
      </w:tr>
    </w:tbl>
    <w:p w14:paraId="0A128E25" w14:textId="164590A3" w:rsidR="00A15D3B" w:rsidRDefault="00A15D3B"/>
    <w:tbl>
      <w:tblPr>
        <w:tblStyle w:val="TableGrid"/>
        <w:tblW w:w="8863"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8863"/>
      </w:tblGrid>
      <w:tr w:rsidR="00306FED" w14:paraId="78B266BF" w14:textId="77777777" w:rsidTr="00306FED">
        <w:trPr>
          <w:trHeight w:val="391"/>
        </w:trPr>
        <w:tc>
          <w:tcPr>
            <w:tcW w:w="0" w:type="auto"/>
            <w:shd w:val="clear" w:color="auto" w:fill="538135" w:themeFill="accent6" w:themeFillShade="BF"/>
          </w:tcPr>
          <w:p w14:paraId="62A896E9" w14:textId="5D1DA727" w:rsidR="00306FED" w:rsidRPr="006E0A03" w:rsidRDefault="00CE685F">
            <w:pPr>
              <w:rPr>
                <w:rFonts w:ascii="Arial" w:hAnsi="Arial" w:cs="Arial"/>
                <w:b/>
                <w:bCs/>
                <w:color w:val="FFFFFF" w:themeColor="background1"/>
                <w:sz w:val="24"/>
                <w:szCs w:val="24"/>
              </w:rPr>
            </w:pPr>
            <w:r w:rsidRPr="006E0A03">
              <w:rPr>
                <w:rFonts w:ascii="Arial" w:hAnsi="Arial" w:cs="Arial"/>
                <w:b/>
                <w:bCs/>
                <w:color w:val="FFFFFF" w:themeColor="background1"/>
                <w:sz w:val="24"/>
                <w:szCs w:val="24"/>
              </w:rPr>
              <w:t xml:space="preserve">Stage 2: HRA Screening Assessment </w:t>
            </w:r>
          </w:p>
        </w:tc>
      </w:tr>
      <w:tr w:rsidR="00306FED" w14:paraId="38847F77" w14:textId="77777777" w:rsidTr="00306FED">
        <w:trPr>
          <w:trHeight w:val="365"/>
        </w:trPr>
        <w:tc>
          <w:tcPr>
            <w:tcW w:w="0" w:type="auto"/>
            <w:shd w:val="clear" w:color="auto" w:fill="C5E0B3" w:themeFill="accent6" w:themeFillTint="66"/>
          </w:tcPr>
          <w:p w14:paraId="781B3E0A" w14:textId="77777777" w:rsidR="00306FED" w:rsidRDefault="00174E29">
            <w:pPr>
              <w:rPr>
                <w:rFonts w:ascii="Arial" w:hAnsi="Arial" w:cs="Arial"/>
              </w:rPr>
            </w:pPr>
            <w:r w:rsidRPr="00A567E2">
              <w:rPr>
                <w:rFonts w:ascii="Arial" w:hAnsi="Arial" w:cs="Arial"/>
              </w:rPr>
              <w:t>Screening under Regulation 63(1)(a) of the Habitats Regulations – Evidence to allow a judgement to be made as to whether there could be any potential significant impacts of the development on the integrity of the relevant designated sites listed above.</w:t>
            </w:r>
          </w:p>
          <w:p w14:paraId="6F1CA21F" w14:textId="1CDD7D43" w:rsidR="00CA34EA" w:rsidRPr="00A567E2" w:rsidRDefault="00CA34EA">
            <w:pPr>
              <w:rPr>
                <w:rFonts w:ascii="Arial" w:hAnsi="Arial" w:cs="Arial"/>
              </w:rPr>
            </w:pPr>
          </w:p>
        </w:tc>
      </w:tr>
      <w:tr w:rsidR="00306FED" w14:paraId="74C35C2D" w14:textId="77777777" w:rsidTr="00306FED">
        <w:trPr>
          <w:trHeight w:val="391"/>
        </w:trPr>
        <w:tc>
          <w:tcPr>
            <w:tcW w:w="0" w:type="auto"/>
          </w:tcPr>
          <w:p w14:paraId="76558692" w14:textId="77777777" w:rsidR="00A567E2" w:rsidRPr="00A567E2" w:rsidRDefault="00A567E2" w:rsidP="00A567E2">
            <w:pPr>
              <w:pStyle w:val="TableParagraph"/>
              <w:spacing w:before="55"/>
            </w:pPr>
            <w:r w:rsidRPr="00A567E2">
              <w:rPr>
                <w:u w:val="single"/>
              </w:rPr>
              <w:t>Epping Forest SAC</w:t>
            </w:r>
          </w:p>
          <w:p w14:paraId="4A188919" w14:textId="77777777" w:rsidR="00A567E2" w:rsidRPr="00A567E2" w:rsidRDefault="00A567E2" w:rsidP="00A567E2">
            <w:pPr>
              <w:pStyle w:val="TableParagraph"/>
              <w:spacing w:before="9"/>
              <w:ind w:left="0"/>
              <w:rPr>
                <w:sz w:val="28"/>
              </w:rPr>
            </w:pPr>
          </w:p>
          <w:p w14:paraId="2A5059E0" w14:textId="0E24087A" w:rsidR="00A567E2" w:rsidRPr="00A567E2" w:rsidRDefault="00A567E2" w:rsidP="00A567E2">
            <w:pPr>
              <w:pStyle w:val="TableParagraph"/>
              <w:rPr>
                <w:i/>
              </w:rPr>
            </w:pPr>
            <w:r w:rsidRPr="00A567E2">
              <w:rPr>
                <w:i/>
              </w:rPr>
              <w:t xml:space="preserve">Qualifying </w:t>
            </w:r>
            <w:r w:rsidR="00FA2BD7">
              <w:rPr>
                <w:i/>
              </w:rPr>
              <w:t>F</w:t>
            </w:r>
            <w:r w:rsidRPr="00A567E2">
              <w:rPr>
                <w:i/>
              </w:rPr>
              <w:t>eatures</w:t>
            </w:r>
          </w:p>
          <w:p w14:paraId="6794BF63" w14:textId="77777777" w:rsidR="00A567E2" w:rsidRPr="00A567E2" w:rsidRDefault="00A567E2" w:rsidP="00A567E2">
            <w:pPr>
              <w:pStyle w:val="TableParagraph"/>
              <w:spacing w:before="37" w:line="276" w:lineRule="auto"/>
              <w:ind w:right="99"/>
            </w:pPr>
            <w:r w:rsidRPr="00A567E2">
              <w:t>The site is designated under article 4(4) of the Directive (92/43/EEC) as it hosts the following habitats listed in Annex I:</w:t>
            </w:r>
          </w:p>
          <w:p w14:paraId="3A8A8643" w14:textId="79A8D94B" w:rsidR="00A567E2" w:rsidRPr="00A567E2" w:rsidRDefault="00A567E2" w:rsidP="00A567E2">
            <w:pPr>
              <w:pStyle w:val="TableParagraph"/>
              <w:numPr>
                <w:ilvl w:val="0"/>
                <w:numId w:val="3"/>
              </w:numPr>
              <w:spacing w:before="37" w:line="276" w:lineRule="auto"/>
              <w:ind w:right="99"/>
            </w:pPr>
            <w:r w:rsidRPr="00A567E2">
              <w:t xml:space="preserve">Atlantic acidophilous beech forests with Ilex and sometimes also Taxus in the </w:t>
            </w:r>
            <w:proofErr w:type="spellStart"/>
            <w:r w:rsidRPr="00A567E2">
              <w:t>shrublayer</w:t>
            </w:r>
            <w:proofErr w:type="spellEnd"/>
            <w:r w:rsidR="009A113A">
              <w:t xml:space="preserve"> </w:t>
            </w:r>
            <w:r w:rsidRPr="00A567E2">
              <w:t>(</w:t>
            </w:r>
            <w:proofErr w:type="spellStart"/>
            <w:r w:rsidRPr="00A567E2">
              <w:t>Quercion</w:t>
            </w:r>
            <w:proofErr w:type="spellEnd"/>
            <w:r w:rsidRPr="00A567E2">
              <w:t xml:space="preserve"> </w:t>
            </w:r>
            <w:proofErr w:type="spellStart"/>
            <w:r w:rsidRPr="00A567E2">
              <w:t>robori-petraeae</w:t>
            </w:r>
            <w:proofErr w:type="spellEnd"/>
            <w:r w:rsidRPr="00A567E2">
              <w:t xml:space="preserve"> or </w:t>
            </w:r>
            <w:proofErr w:type="spellStart"/>
            <w:r w:rsidRPr="00A567E2">
              <w:t>Ilici-Fagenion</w:t>
            </w:r>
            <w:proofErr w:type="spellEnd"/>
            <w:r w:rsidRPr="00A567E2">
              <w:t>). (Beech forests on acid soils)</w:t>
            </w:r>
          </w:p>
          <w:p w14:paraId="6F4D8271" w14:textId="77777777" w:rsidR="00A567E2" w:rsidRPr="00A567E2" w:rsidRDefault="00A567E2" w:rsidP="00A567E2">
            <w:pPr>
              <w:pStyle w:val="TableParagraph"/>
              <w:numPr>
                <w:ilvl w:val="0"/>
                <w:numId w:val="4"/>
              </w:numPr>
              <w:spacing w:before="37" w:line="276" w:lineRule="auto"/>
              <w:ind w:right="99"/>
            </w:pPr>
            <w:r w:rsidRPr="00A567E2">
              <w:t>European dry heaths</w:t>
            </w:r>
          </w:p>
          <w:p w14:paraId="0B921B8B" w14:textId="77777777" w:rsidR="00A567E2" w:rsidRPr="00A567E2" w:rsidRDefault="00A567E2" w:rsidP="00A567E2">
            <w:pPr>
              <w:pStyle w:val="TableParagraph"/>
              <w:numPr>
                <w:ilvl w:val="0"/>
                <w:numId w:val="4"/>
              </w:numPr>
              <w:spacing w:before="3"/>
              <w:rPr>
                <w:sz w:val="25"/>
              </w:rPr>
            </w:pPr>
            <w:r w:rsidRPr="00A567E2">
              <w:t xml:space="preserve">Northern Atlantic wet heaths with Erica </w:t>
            </w:r>
            <w:proofErr w:type="spellStart"/>
            <w:r w:rsidRPr="00A567E2">
              <w:t>tetralix</w:t>
            </w:r>
            <w:proofErr w:type="spellEnd"/>
            <w:r w:rsidRPr="00A567E2">
              <w:t>. (Wet heathland with cross-leaved heath)</w:t>
            </w:r>
          </w:p>
          <w:p w14:paraId="7F376BF3" w14:textId="77777777" w:rsidR="00A567E2" w:rsidRPr="00A567E2" w:rsidRDefault="00A567E2" w:rsidP="00A567E2">
            <w:pPr>
              <w:pStyle w:val="TableParagraph"/>
              <w:spacing w:before="3"/>
              <w:ind w:left="777"/>
              <w:rPr>
                <w:i/>
                <w:iCs/>
                <w:sz w:val="25"/>
              </w:rPr>
            </w:pPr>
          </w:p>
          <w:p w14:paraId="0C353BEC" w14:textId="232E08B7" w:rsidR="00A567E2" w:rsidRPr="00A567E2" w:rsidRDefault="00A567E2" w:rsidP="00A567E2">
            <w:pPr>
              <w:pStyle w:val="TableParagraph"/>
              <w:spacing w:before="3"/>
              <w:rPr>
                <w:i/>
                <w:iCs/>
              </w:rPr>
            </w:pPr>
            <w:r w:rsidRPr="00A567E2">
              <w:rPr>
                <w:i/>
                <w:iCs/>
              </w:rPr>
              <w:lastRenderedPageBreak/>
              <w:t xml:space="preserve">Qualifying </w:t>
            </w:r>
            <w:r w:rsidR="00726706">
              <w:rPr>
                <w:i/>
                <w:iCs/>
              </w:rPr>
              <w:t>S</w:t>
            </w:r>
            <w:r w:rsidRPr="00A567E2">
              <w:rPr>
                <w:i/>
                <w:iCs/>
              </w:rPr>
              <w:t xml:space="preserve">pecies: </w:t>
            </w:r>
          </w:p>
          <w:p w14:paraId="71487CE9" w14:textId="77777777" w:rsidR="00A567E2" w:rsidRPr="00A567E2" w:rsidRDefault="00A567E2" w:rsidP="00A567E2">
            <w:pPr>
              <w:pStyle w:val="TableParagraph"/>
              <w:spacing w:before="3"/>
            </w:pPr>
            <w:r w:rsidRPr="00A567E2">
              <w:t xml:space="preserve">The site is designated under article 4(4) of the Directive (92/43/EEC) as it hosts the following species listed in Annex II: </w:t>
            </w:r>
          </w:p>
          <w:p w14:paraId="04ECEEFC" w14:textId="77777777" w:rsidR="00A567E2" w:rsidRPr="00A567E2" w:rsidRDefault="00A567E2" w:rsidP="00A567E2">
            <w:pPr>
              <w:pStyle w:val="TableParagraph"/>
              <w:spacing w:before="3"/>
            </w:pPr>
          </w:p>
          <w:p w14:paraId="1098E23C" w14:textId="67CEA6DA" w:rsidR="00A567E2" w:rsidRPr="00A567E2" w:rsidRDefault="00A567E2" w:rsidP="00A567E2">
            <w:pPr>
              <w:pStyle w:val="TableParagraph"/>
              <w:numPr>
                <w:ilvl w:val="0"/>
                <w:numId w:val="4"/>
              </w:numPr>
              <w:spacing w:before="3"/>
            </w:pPr>
            <w:r w:rsidRPr="00A567E2">
              <w:t xml:space="preserve">Stag beetle </w:t>
            </w:r>
            <w:r w:rsidR="00726706">
              <w:t>(</w:t>
            </w:r>
            <w:r w:rsidRPr="00A567E2">
              <w:t xml:space="preserve">Lucanus </w:t>
            </w:r>
            <w:r w:rsidR="00726706">
              <w:t>C</w:t>
            </w:r>
            <w:r w:rsidRPr="00A567E2">
              <w:t>ervus</w:t>
            </w:r>
            <w:r w:rsidR="00726706">
              <w:t>)</w:t>
            </w:r>
          </w:p>
          <w:p w14:paraId="542BE379" w14:textId="77777777" w:rsidR="00A567E2" w:rsidRPr="00A567E2" w:rsidRDefault="00A567E2" w:rsidP="00A567E2">
            <w:pPr>
              <w:pStyle w:val="TableParagraph"/>
              <w:spacing w:before="3"/>
              <w:rPr>
                <w:sz w:val="25"/>
              </w:rPr>
            </w:pPr>
          </w:p>
          <w:p w14:paraId="32C28455" w14:textId="2DCC90C3" w:rsidR="00A567E2" w:rsidRPr="00A567E2" w:rsidRDefault="00A567E2" w:rsidP="00A567E2">
            <w:pPr>
              <w:pStyle w:val="TableParagraph"/>
              <w:rPr>
                <w:i/>
              </w:rPr>
            </w:pPr>
            <w:r w:rsidRPr="00A567E2">
              <w:rPr>
                <w:i/>
              </w:rPr>
              <w:t xml:space="preserve">Conservation </w:t>
            </w:r>
            <w:r w:rsidR="00726706">
              <w:rPr>
                <w:i/>
              </w:rPr>
              <w:t>O</w:t>
            </w:r>
            <w:r w:rsidRPr="00A567E2">
              <w:rPr>
                <w:i/>
              </w:rPr>
              <w:t>bjectives</w:t>
            </w:r>
          </w:p>
          <w:p w14:paraId="1C0606BA" w14:textId="5B5DD5FF" w:rsidR="00A567E2" w:rsidRPr="00A567E2" w:rsidRDefault="00A567E2" w:rsidP="00E701D9">
            <w:pPr>
              <w:pStyle w:val="TableParagraph"/>
              <w:spacing w:before="40" w:line="276" w:lineRule="auto"/>
            </w:pPr>
            <w:proofErr w:type="gramStart"/>
            <w:r w:rsidRPr="00A567E2">
              <w:t>With regard to</w:t>
            </w:r>
            <w:proofErr w:type="gramEnd"/>
            <w:r w:rsidRPr="00A567E2">
              <w:t xml:space="preserve"> the SAC and the natural habitats and/or species for which the site</w:t>
            </w:r>
            <w:r w:rsidR="00DB4FC6">
              <w:t xml:space="preserve"> </w:t>
            </w:r>
            <w:r w:rsidR="00950BF0">
              <w:t>h</w:t>
            </w:r>
            <w:r w:rsidRPr="00A567E2">
              <w:t>as been designated (the ‘Qualifying Features’</w:t>
            </w:r>
            <w:r w:rsidR="00DB4FC6">
              <w:t xml:space="preserve"> and ‘Qualifying Species’</w:t>
            </w:r>
            <w:r w:rsidRPr="00A567E2">
              <w:t xml:space="preserve"> listed </w:t>
            </w:r>
            <w:r w:rsidR="001A4B81">
              <w:t>above</w:t>
            </w:r>
            <w:r w:rsidRPr="00A567E2">
              <w:t>), and subject to natural change</w:t>
            </w:r>
            <w:r w:rsidR="0090755D">
              <w:t>, e</w:t>
            </w:r>
            <w:r w:rsidRPr="00A567E2">
              <w:t xml:space="preserve">nsure that the integrity of the site is maintained or restored as appropriate, and ensure that the site contributes to achieving the </w:t>
            </w:r>
            <w:proofErr w:type="spellStart"/>
            <w:r w:rsidRPr="00A567E2">
              <w:t>Favourable</w:t>
            </w:r>
            <w:proofErr w:type="spellEnd"/>
            <w:r w:rsidRPr="00A567E2">
              <w:t xml:space="preserve"> Conservation Status of its</w:t>
            </w:r>
            <w:r w:rsidRPr="00A567E2">
              <w:rPr>
                <w:spacing w:val="-34"/>
              </w:rPr>
              <w:t xml:space="preserve"> </w:t>
            </w:r>
            <w:r w:rsidRPr="00A567E2">
              <w:t>Qualifying Features</w:t>
            </w:r>
            <w:r w:rsidR="00950BF0">
              <w:t xml:space="preserve"> and Species</w:t>
            </w:r>
            <w:r w:rsidR="000A02B6">
              <w:t xml:space="preserve">. </w:t>
            </w:r>
          </w:p>
          <w:p w14:paraId="2E3CD86D" w14:textId="77777777" w:rsidR="00A567E2" w:rsidRPr="00A567E2" w:rsidRDefault="00A567E2" w:rsidP="00A567E2">
            <w:pPr>
              <w:pStyle w:val="TableParagraph"/>
              <w:spacing w:before="4"/>
              <w:ind w:left="0"/>
              <w:rPr>
                <w:sz w:val="28"/>
              </w:rPr>
            </w:pPr>
          </w:p>
          <w:p w14:paraId="6F4792AE" w14:textId="4F8EAB60" w:rsidR="00A567E2" w:rsidRPr="009061D0" w:rsidRDefault="00A567E2" w:rsidP="00A567E2">
            <w:pPr>
              <w:pStyle w:val="TableParagraph"/>
              <w:rPr>
                <w:i/>
              </w:rPr>
            </w:pPr>
            <w:r w:rsidRPr="009061D0">
              <w:rPr>
                <w:i/>
              </w:rPr>
              <w:t>Likely Significant Effect</w:t>
            </w:r>
          </w:p>
          <w:p w14:paraId="27D3092F" w14:textId="77777777" w:rsidR="00A567E2" w:rsidRPr="009061D0" w:rsidRDefault="00A567E2" w:rsidP="00A567E2">
            <w:pPr>
              <w:pStyle w:val="TableParagraph"/>
              <w:rPr>
                <w:i/>
              </w:rPr>
            </w:pPr>
          </w:p>
          <w:p w14:paraId="6614202C" w14:textId="7B7C6E81" w:rsidR="00A567E2" w:rsidRPr="009061D0" w:rsidRDefault="00A567E2" w:rsidP="00A567E2">
            <w:pPr>
              <w:pStyle w:val="TableParagraph"/>
              <w:rPr>
                <w:u w:val="single"/>
              </w:rPr>
            </w:pPr>
            <w:r w:rsidRPr="009061D0">
              <w:rPr>
                <w:u w:val="single"/>
              </w:rPr>
              <w:t>Recreational Pressure</w:t>
            </w:r>
          </w:p>
          <w:p w14:paraId="2D23187E" w14:textId="77777777" w:rsidR="00A567E2" w:rsidRPr="009061D0" w:rsidRDefault="00A567E2" w:rsidP="00A567E2">
            <w:pPr>
              <w:pStyle w:val="TableParagraph"/>
              <w:rPr>
                <w:u w:val="single"/>
              </w:rPr>
            </w:pPr>
          </w:p>
          <w:p w14:paraId="366F71D1" w14:textId="6ACB6D0D" w:rsidR="00A567E2" w:rsidRPr="009061D0" w:rsidRDefault="00A567E2" w:rsidP="00A567E2">
            <w:pPr>
              <w:pStyle w:val="TableParagraph"/>
            </w:pPr>
            <w:r w:rsidRPr="009061D0">
              <w:t xml:space="preserve">The proposed development is within </w:t>
            </w:r>
            <w:r w:rsidR="0084208B">
              <w:t xml:space="preserve">the </w:t>
            </w:r>
            <w:r w:rsidRPr="009061D0">
              <w:t xml:space="preserve">6.2km </w:t>
            </w:r>
            <w:r w:rsidR="0084208B">
              <w:t xml:space="preserve">Zone of Influence (ZOI) </w:t>
            </w:r>
            <w:r w:rsidRPr="009061D0">
              <w:t xml:space="preserve">of the Epping Forest SAC. In accordance with advice from Natural England and the analysis contained in the HRA of the Waltham Forest Local Plan Part 1, a net increase in housing development within </w:t>
            </w:r>
            <w:r w:rsidR="006C474E">
              <w:t xml:space="preserve">the ZOI </w:t>
            </w:r>
            <w:r w:rsidRPr="009061D0">
              <w:t>is considered likely to result in impacts to the integrity of the SAC through a consequent increase in recreational disturbance.</w:t>
            </w:r>
          </w:p>
          <w:p w14:paraId="6C6E22CF" w14:textId="77777777" w:rsidR="00A567E2" w:rsidRPr="009061D0" w:rsidRDefault="00A567E2" w:rsidP="00A567E2">
            <w:pPr>
              <w:pStyle w:val="TableParagraph"/>
            </w:pPr>
          </w:p>
          <w:p w14:paraId="1947D3F5" w14:textId="401DF042" w:rsidR="00E677A0" w:rsidRPr="009061D0" w:rsidRDefault="00A567E2" w:rsidP="00E677A0">
            <w:pPr>
              <w:pStyle w:val="TableParagraph"/>
            </w:pPr>
            <w:r w:rsidRPr="009061D0">
              <w:t>Development within the borough will increase the human population in the Epping Forest ZOI and is therefore considered likely to increase recreational impacts on the heathland and forest elements that are qualifying features of the SAC. The impacts of recreational disturbance (both at the site-scale and in combination with other development around the Epping Forest) are analogous to impacts from direct habitat loss</w:t>
            </w:r>
            <w:r w:rsidR="0050328B">
              <w:t>,</w:t>
            </w:r>
            <w:r w:rsidRPr="009061D0">
              <w:t xml:space="preserve"> as recreation can cause important habitat to be unavailable for use. The habitat is functionally lost, either permanently or for a defined period. Ultimately, the impacts of recreational disturbance can be such that they affect the stated</w:t>
            </w:r>
            <w:r w:rsidR="00E677A0" w:rsidRPr="009061D0">
              <w:t xml:space="preserve"> conservation objectives of the European sites.</w:t>
            </w:r>
          </w:p>
          <w:p w14:paraId="739B2735" w14:textId="77777777" w:rsidR="00E677A0" w:rsidRPr="009061D0" w:rsidRDefault="00E677A0" w:rsidP="00E677A0">
            <w:pPr>
              <w:pStyle w:val="TableParagraph"/>
            </w:pPr>
          </w:p>
          <w:p w14:paraId="223C07DA" w14:textId="0320E21D" w:rsidR="00E677A0" w:rsidRPr="009061D0" w:rsidRDefault="00E677A0" w:rsidP="00E677A0">
            <w:pPr>
              <w:pStyle w:val="TableParagraph"/>
            </w:pPr>
            <w:r w:rsidRPr="009061D0">
              <w:t xml:space="preserve">As a result, when considered in combination with other plans and projects, </w:t>
            </w:r>
            <w:r w:rsidR="00F87798">
              <w:t xml:space="preserve">and without any mitigation or avoidance measures in place, </w:t>
            </w:r>
            <w:r w:rsidRPr="009061D0">
              <w:t>this</w:t>
            </w:r>
            <w:r w:rsidR="00F87798">
              <w:t xml:space="preserve"> proposal would</w:t>
            </w:r>
            <w:r w:rsidRPr="009061D0">
              <w:t xml:space="preserve"> </w:t>
            </w:r>
            <w:r w:rsidR="00F87798">
              <w:t xml:space="preserve">result in a </w:t>
            </w:r>
            <w:r w:rsidRPr="009061D0">
              <w:t>likely significant effect on the Epping Forest SAC</w:t>
            </w:r>
            <w:r w:rsidR="00677A4C">
              <w:t xml:space="preserve"> </w:t>
            </w:r>
            <w:proofErr w:type="gramStart"/>
            <w:r w:rsidR="00677A4C">
              <w:t>as a result of</w:t>
            </w:r>
            <w:proofErr w:type="gramEnd"/>
            <w:r w:rsidR="00677A4C">
              <w:t xml:space="preserve"> recreational pressure</w:t>
            </w:r>
            <w:r w:rsidRPr="009061D0">
              <w:t>.</w:t>
            </w:r>
          </w:p>
          <w:p w14:paraId="4E1AC9FA" w14:textId="4911D2F1" w:rsidR="006E0A03" w:rsidRPr="00A567E2" w:rsidRDefault="00E677A0" w:rsidP="00122648">
            <w:pPr>
              <w:rPr>
                <w:rFonts w:ascii="Arial" w:hAnsi="Arial" w:cs="Arial"/>
              </w:rPr>
            </w:pPr>
            <w:r w:rsidRPr="009061D0">
              <w:rPr>
                <w:rFonts w:ascii="Arial" w:hAnsi="Arial" w:cs="Arial"/>
              </w:rPr>
              <w:t xml:space="preserve"> </w:t>
            </w:r>
          </w:p>
        </w:tc>
      </w:tr>
    </w:tbl>
    <w:p w14:paraId="6E09EAAE" w14:textId="77777777" w:rsidR="00DB6AAD" w:rsidRDefault="00DB6AAD"/>
    <w:tbl>
      <w:tblPr>
        <w:tblStyle w:val="TableGrid"/>
        <w:tblW w:w="8948"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8948"/>
      </w:tblGrid>
      <w:tr w:rsidR="00DB6AAD" w14:paraId="031AD6AE" w14:textId="77777777" w:rsidTr="00DB6AAD">
        <w:trPr>
          <w:trHeight w:val="334"/>
        </w:trPr>
        <w:tc>
          <w:tcPr>
            <w:tcW w:w="0" w:type="auto"/>
            <w:shd w:val="clear" w:color="auto" w:fill="538135" w:themeFill="accent6" w:themeFillShade="BF"/>
          </w:tcPr>
          <w:p w14:paraId="796DC491" w14:textId="435D065C" w:rsidR="00DB6AAD" w:rsidRPr="006E0A03" w:rsidRDefault="00B73CC4">
            <w:pPr>
              <w:rPr>
                <w:rFonts w:ascii="Arial" w:hAnsi="Arial" w:cs="Arial"/>
                <w:b/>
                <w:bCs/>
                <w:color w:val="FFFFFF" w:themeColor="background1"/>
                <w:sz w:val="24"/>
                <w:szCs w:val="24"/>
              </w:rPr>
            </w:pPr>
            <w:r w:rsidRPr="006E0A03">
              <w:rPr>
                <w:rFonts w:ascii="Arial" w:hAnsi="Arial" w:cs="Arial"/>
                <w:b/>
                <w:bCs/>
                <w:color w:val="FFFFFF" w:themeColor="background1"/>
                <w:sz w:val="24"/>
                <w:szCs w:val="24"/>
              </w:rPr>
              <w:t xml:space="preserve">Stage 3: Appropriate Assessment </w:t>
            </w:r>
          </w:p>
        </w:tc>
      </w:tr>
      <w:tr w:rsidR="00B73CC4" w14:paraId="245D9DDB" w14:textId="77777777" w:rsidTr="00DB6AAD">
        <w:trPr>
          <w:trHeight w:val="312"/>
        </w:trPr>
        <w:tc>
          <w:tcPr>
            <w:tcW w:w="0" w:type="auto"/>
            <w:shd w:val="clear" w:color="auto" w:fill="C5E0B3" w:themeFill="accent6" w:themeFillTint="66"/>
          </w:tcPr>
          <w:p w14:paraId="39701B8B" w14:textId="77777777" w:rsidR="00B73CC4" w:rsidRDefault="00B73CC4" w:rsidP="00B73CC4">
            <w:pPr>
              <w:rPr>
                <w:rFonts w:ascii="Arial" w:hAnsi="Arial" w:cs="Arial"/>
              </w:rPr>
            </w:pPr>
            <w:r w:rsidRPr="00B73CC4">
              <w:rPr>
                <w:rFonts w:ascii="Arial" w:hAnsi="Arial" w:cs="Arial"/>
              </w:rPr>
              <w:t>Appropriate Assessment under Regulation 63(1) - if there are any potential significant impacts, avoidance and/or mitigation measures must be assessed. This should include details of any long- term management and maintenance and funding of any solution.</w:t>
            </w:r>
          </w:p>
          <w:p w14:paraId="37AA892F" w14:textId="359BEA16" w:rsidR="00CA34EA" w:rsidRPr="00B73CC4" w:rsidRDefault="00CA34EA" w:rsidP="00B73CC4">
            <w:pPr>
              <w:rPr>
                <w:rFonts w:ascii="Arial" w:hAnsi="Arial" w:cs="Arial"/>
              </w:rPr>
            </w:pPr>
          </w:p>
        </w:tc>
      </w:tr>
      <w:tr w:rsidR="00B73CC4" w14:paraId="0A909781" w14:textId="77777777" w:rsidTr="00DB6AAD">
        <w:trPr>
          <w:trHeight w:val="334"/>
        </w:trPr>
        <w:tc>
          <w:tcPr>
            <w:tcW w:w="0" w:type="auto"/>
          </w:tcPr>
          <w:p w14:paraId="4B7E677D" w14:textId="77777777" w:rsidR="00CA34EA" w:rsidRPr="00AA437E" w:rsidRDefault="00CA34EA" w:rsidP="00CA34EA">
            <w:pPr>
              <w:pStyle w:val="TableParagraph"/>
              <w:rPr>
                <w:u w:val="single"/>
              </w:rPr>
            </w:pPr>
            <w:r w:rsidRPr="00AA437E">
              <w:rPr>
                <w:u w:val="single"/>
              </w:rPr>
              <w:t xml:space="preserve">Epping Forest </w:t>
            </w:r>
            <w:proofErr w:type="gramStart"/>
            <w:r w:rsidRPr="00AA437E">
              <w:rPr>
                <w:u w:val="single"/>
              </w:rPr>
              <w:t>SAC  –</w:t>
            </w:r>
            <w:proofErr w:type="gramEnd"/>
            <w:r w:rsidRPr="00AA437E">
              <w:rPr>
                <w:u w:val="single"/>
              </w:rPr>
              <w:t xml:space="preserve"> Recreational Pressure</w:t>
            </w:r>
          </w:p>
          <w:p w14:paraId="4B54F8D5" w14:textId="77777777" w:rsidR="00CA34EA" w:rsidRDefault="00CA34EA" w:rsidP="00CA34EA">
            <w:pPr>
              <w:pStyle w:val="TableParagraph"/>
              <w:spacing w:before="57"/>
            </w:pPr>
          </w:p>
          <w:p w14:paraId="15DAD5BA" w14:textId="6D157EC1" w:rsidR="00CA34EA" w:rsidRDefault="00CA34EA" w:rsidP="00CA34EA">
            <w:pPr>
              <w:pStyle w:val="TableParagraph"/>
              <w:spacing w:before="37" w:line="276" w:lineRule="auto"/>
              <w:ind w:right="111"/>
            </w:pPr>
            <w:r>
              <w:t xml:space="preserve">The </w:t>
            </w:r>
            <w:r w:rsidR="005479BD">
              <w:t xml:space="preserve">application </w:t>
            </w:r>
            <w:r>
              <w:t xml:space="preserve">being assessed will result in a net increase of dwellings within the 6.2km ZOI of the Epping Forest SAC. As established in the HRA of Waltham Forest Local Plan Part 1, a permanent significant effect on the SAC site due to increase in recreational disturbance </w:t>
            </w:r>
            <w:proofErr w:type="gramStart"/>
            <w:r>
              <w:t>as a result of</w:t>
            </w:r>
            <w:proofErr w:type="gramEnd"/>
            <w:r>
              <w:t xml:space="preserve"> the new development, is likely. As such, </w:t>
            </w:r>
            <w:r w:rsidR="00595CF9">
              <w:t xml:space="preserve">and </w:t>
            </w:r>
            <w:proofErr w:type="gramStart"/>
            <w:r>
              <w:t>in order to</w:t>
            </w:r>
            <w:proofErr w:type="gramEnd"/>
            <w:r>
              <w:t xml:space="preserve"> lawfully be permitted, the proposed development must contribute to the package of avoidance and mitigation measures as set out in the Epping Forest </w:t>
            </w:r>
            <w:r>
              <w:lastRenderedPageBreak/>
              <w:t>Strategic Access Management and Maintenance</w:t>
            </w:r>
            <w:r w:rsidR="00595CF9">
              <w:t xml:space="preserve"> (SAMM)</w:t>
            </w:r>
            <w:r>
              <w:t xml:space="preserve"> Strategy, and the Council’s emerging Suitable Alternative Natural Greenspace (SANG) Strategy (Part 1 of the Waltham Forest Green Spaces and Places SPD)</w:t>
            </w:r>
          </w:p>
          <w:p w14:paraId="07460BF4" w14:textId="77777777" w:rsidR="00CA34EA" w:rsidRDefault="00CA34EA" w:rsidP="00CA34EA">
            <w:pPr>
              <w:pStyle w:val="TableParagraph"/>
              <w:spacing w:before="10"/>
              <w:ind w:left="0"/>
              <w:rPr>
                <w:sz w:val="24"/>
              </w:rPr>
            </w:pPr>
          </w:p>
          <w:p w14:paraId="254538C7" w14:textId="7DEA3D54" w:rsidR="00CA34EA" w:rsidRDefault="00595CF9" w:rsidP="00CA34EA">
            <w:pPr>
              <w:pStyle w:val="TableParagraph"/>
              <w:spacing w:line="276" w:lineRule="auto"/>
              <w:ind w:right="110"/>
            </w:pPr>
            <w:proofErr w:type="gramStart"/>
            <w:r>
              <w:t>In order to</w:t>
            </w:r>
            <w:proofErr w:type="gramEnd"/>
            <w:r>
              <w:t xml:space="preserve"> achieve appropriate avoidance of, and mitigation for, recreational effects likely to result from this application, </w:t>
            </w:r>
            <w:r w:rsidR="00496882">
              <w:t xml:space="preserve">the following are required: </w:t>
            </w:r>
          </w:p>
          <w:p w14:paraId="6B9FF96A" w14:textId="77777777" w:rsidR="00CA34EA" w:rsidRDefault="00CA34EA" w:rsidP="00CA34EA">
            <w:pPr>
              <w:pStyle w:val="TableParagraph"/>
              <w:spacing w:before="5" w:after="1"/>
              <w:ind w:left="0"/>
              <w:rPr>
                <w:sz w:val="23"/>
              </w:rPr>
            </w:pPr>
          </w:p>
          <w:p w14:paraId="73305084" w14:textId="41979788" w:rsidR="00CA34EA" w:rsidRDefault="00CA34EA" w:rsidP="00CA34EA">
            <w:pPr>
              <w:pStyle w:val="TableParagraph"/>
              <w:numPr>
                <w:ilvl w:val="0"/>
                <w:numId w:val="4"/>
              </w:numPr>
            </w:pPr>
            <w:r w:rsidRPr="00446D3B">
              <w:rPr>
                <w:b/>
                <w:bCs/>
              </w:rPr>
              <w:t>SAMM:</w:t>
            </w:r>
            <w:r>
              <w:t xml:space="preserve"> In accordance with the </w:t>
            </w:r>
            <w:r w:rsidR="00C24C30">
              <w:t xml:space="preserve">agreed </w:t>
            </w:r>
            <w:r>
              <w:t xml:space="preserve">SAMM Strategy this proposal </w:t>
            </w:r>
            <w:r w:rsidR="00C24C30">
              <w:t xml:space="preserve">will make a </w:t>
            </w:r>
            <w:r>
              <w:t>financial contribution of</w:t>
            </w:r>
            <w:r w:rsidR="006C1335">
              <w:t xml:space="preserve"> £627 per new home </w:t>
            </w:r>
            <w:r>
              <w:t xml:space="preserve">towards mitigation SAMM measures within the SAC itself. This payment will be secured through </w:t>
            </w:r>
            <w:r w:rsidR="00C24C30">
              <w:t xml:space="preserve">a </w:t>
            </w:r>
            <w:r>
              <w:t>S</w:t>
            </w:r>
            <w:r w:rsidR="00C24C30">
              <w:t xml:space="preserve">ection </w:t>
            </w:r>
            <w:r>
              <w:t xml:space="preserve">106 </w:t>
            </w:r>
            <w:r w:rsidR="00C24C30">
              <w:t xml:space="preserve">legal </w:t>
            </w:r>
            <w:r>
              <w:t>agreement, to be paid prior to occupation.</w:t>
            </w:r>
          </w:p>
          <w:p w14:paraId="1F8DBF48" w14:textId="77777777" w:rsidR="00CA34EA" w:rsidRPr="00F90B89" w:rsidRDefault="00CA34EA" w:rsidP="00CA34EA">
            <w:pPr>
              <w:pStyle w:val="TableParagraph"/>
              <w:ind w:left="28"/>
            </w:pPr>
          </w:p>
          <w:p w14:paraId="1BEFF337" w14:textId="46172EC2" w:rsidR="00CA34EA" w:rsidRPr="00865865" w:rsidRDefault="00CA34EA" w:rsidP="00CA34EA">
            <w:pPr>
              <w:pStyle w:val="TableParagraph"/>
              <w:numPr>
                <w:ilvl w:val="0"/>
                <w:numId w:val="4"/>
              </w:numPr>
            </w:pPr>
            <w:r w:rsidRPr="00865865">
              <w:rPr>
                <w:b/>
                <w:bCs/>
              </w:rPr>
              <w:t xml:space="preserve">SANG: </w:t>
            </w:r>
            <w:r w:rsidRPr="00865865">
              <w:t xml:space="preserve">An appropriate proportion of the Community Infrastructure Levy (CIL) payment made by this scheme upon commencement will be invested in line with the emerging </w:t>
            </w:r>
            <w:r w:rsidR="00F80602" w:rsidRPr="00865865">
              <w:t xml:space="preserve">Waltham Forest </w:t>
            </w:r>
            <w:r w:rsidRPr="00865865">
              <w:t xml:space="preserve">SANG strategy. Based on the methodology set out in the emerging strategy, it is anticipated that the </w:t>
            </w:r>
            <w:r w:rsidR="00865865" w:rsidRPr="00865865">
              <w:rPr>
                <w:i/>
                <w:iCs/>
                <w:u w:val="single"/>
              </w:rPr>
              <w:t>[no. of new homes proposed]</w:t>
            </w:r>
            <w:r w:rsidR="006E0A03" w:rsidRPr="00865865">
              <w:t xml:space="preserve"> </w:t>
            </w:r>
            <w:r w:rsidRPr="00865865">
              <w:t xml:space="preserve">new homes proposed would result in a potential visitor uplift of </w:t>
            </w:r>
            <w:r w:rsidR="00865865" w:rsidRPr="00865865">
              <w:rPr>
                <w:i/>
                <w:iCs/>
                <w:u w:val="single"/>
              </w:rPr>
              <w:t>[potential visitor uplift</w:t>
            </w:r>
            <w:r w:rsidR="00280D46">
              <w:rPr>
                <w:rStyle w:val="FootnoteReference"/>
                <w:i/>
                <w:iCs/>
                <w:u w:val="single"/>
              </w:rPr>
              <w:footnoteReference w:id="1"/>
            </w:r>
            <w:r w:rsidR="00865865" w:rsidRPr="00865865">
              <w:rPr>
                <w:i/>
                <w:iCs/>
                <w:u w:val="single"/>
              </w:rPr>
              <w:t>]</w:t>
            </w:r>
            <w:r w:rsidR="00865865" w:rsidRPr="00865865">
              <w:t xml:space="preserve"> </w:t>
            </w:r>
            <w:r w:rsidR="0067549A" w:rsidRPr="00865865">
              <w:t>daily visits</w:t>
            </w:r>
            <w:r w:rsidRPr="00865865">
              <w:t xml:space="preserve">. Of the proposed SANGs that this site falls within the catchment of, investment in </w:t>
            </w:r>
            <w:r w:rsidR="00865865" w:rsidRPr="00865865">
              <w:rPr>
                <w:i/>
                <w:iCs/>
                <w:u w:val="single"/>
              </w:rPr>
              <w:t>[identified SANG</w:t>
            </w:r>
            <w:r w:rsidR="00280D46" w:rsidRPr="00280D46">
              <w:rPr>
                <w:i/>
                <w:iCs/>
                <w:u w:val="single"/>
                <w:vertAlign w:val="superscript"/>
              </w:rPr>
              <w:t>1</w:t>
            </w:r>
            <w:r w:rsidR="00865865" w:rsidRPr="00865865">
              <w:rPr>
                <w:i/>
                <w:iCs/>
                <w:u w:val="single"/>
              </w:rPr>
              <w:t>]</w:t>
            </w:r>
            <w:r w:rsidRPr="00865865">
              <w:t xml:space="preserve"> is proposed to mitigate the potential recreational impacts on Epping Forest</w:t>
            </w:r>
            <w:r w:rsidR="000A209C">
              <w:t xml:space="preserve"> SAC</w:t>
            </w:r>
            <w:r w:rsidRPr="00865865">
              <w:t xml:space="preserve">.       </w:t>
            </w:r>
          </w:p>
          <w:p w14:paraId="5F525873" w14:textId="77777777" w:rsidR="00CA34EA" w:rsidRDefault="00CA34EA" w:rsidP="00CA34EA">
            <w:pPr>
              <w:pStyle w:val="TableParagraph"/>
              <w:spacing w:before="4"/>
              <w:ind w:left="0"/>
              <w:rPr>
                <w:sz w:val="25"/>
              </w:rPr>
            </w:pPr>
          </w:p>
          <w:p w14:paraId="75181AF3" w14:textId="5F77CABD" w:rsidR="00CA34EA" w:rsidRDefault="00CA34EA" w:rsidP="000A209C">
            <w:pPr>
              <w:pStyle w:val="TableParagraph"/>
              <w:spacing w:line="276" w:lineRule="auto"/>
            </w:pPr>
            <w:r>
              <w:t xml:space="preserve">As a result of the </w:t>
            </w:r>
            <w:r w:rsidR="000A209C">
              <w:t xml:space="preserve">avoidance and </w:t>
            </w:r>
            <w:r>
              <w:t>mitigation</w:t>
            </w:r>
            <w:r w:rsidR="000A209C">
              <w:t xml:space="preserve"> measures set out above, </w:t>
            </w:r>
            <w:r>
              <w:t>the proposed development w</w:t>
            </w:r>
            <w:r w:rsidR="000A209C">
              <w:t xml:space="preserve">ould </w:t>
            </w:r>
            <w:r w:rsidRPr="0067549A">
              <w:rPr>
                <w:b/>
                <w:bCs/>
              </w:rPr>
              <w:t xml:space="preserve">not </w:t>
            </w:r>
            <w:r>
              <w:t>result in Likely Significant Effects (LSE) to the stated conservation objectives of the European sites</w:t>
            </w:r>
            <w:r w:rsidR="000A209C">
              <w:t xml:space="preserve"> </w:t>
            </w:r>
            <w:proofErr w:type="gramStart"/>
            <w:r w:rsidR="000A209C">
              <w:t>as a result of</w:t>
            </w:r>
            <w:proofErr w:type="gramEnd"/>
            <w:r w:rsidR="000A209C">
              <w:t xml:space="preserve"> recreational pressure</w:t>
            </w:r>
            <w:r>
              <w:t>.</w:t>
            </w:r>
          </w:p>
          <w:p w14:paraId="367D9381" w14:textId="77777777" w:rsidR="00B73CC4" w:rsidRDefault="00B73CC4" w:rsidP="00B73CC4"/>
        </w:tc>
      </w:tr>
    </w:tbl>
    <w:p w14:paraId="52DA9FE4" w14:textId="2834E018" w:rsidR="00801DE3" w:rsidRDefault="00801DE3"/>
    <w:tbl>
      <w:tblPr>
        <w:tblStyle w:val="TableGrid"/>
        <w:tblW w:w="9169"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9169"/>
      </w:tblGrid>
      <w:tr w:rsidR="00801DE3" w14:paraId="05595582" w14:textId="77777777" w:rsidTr="0001084D">
        <w:trPr>
          <w:trHeight w:val="267"/>
        </w:trPr>
        <w:tc>
          <w:tcPr>
            <w:tcW w:w="0" w:type="auto"/>
            <w:shd w:val="clear" w:color="auto" w:fill="538135" w:themeFill="accent6" w:themeFillShade="BF"/>
          </w:tcPr>
          <w:p w14:paraId="1F36B0C8" w14:textId="77777777" w:rsidR="00801DE3" w:rsidRDefault="000D57EB">
            <w:pPr>
              <w:rPr>
                <w:rFonts w:ascii="Arial" w:hAnsi="Arial" w:cs="Arial"/>
                <w:b/>
                <w:bCs/>
                <w:color w:val="FFFFFF" w:themeColor="background1"/>
                <w:sz w:val="24"/>
                <w:szCs w:val="24"/>
              </w:rPr>
            </w:pPr>
            <w:r w:rsidRPr="000D57EB">
              <w:rPr>
                <w:rFonts w:ascii="Arial" w:hAnsi="Arial" w:cs="Arial"/>
                <w:b/>
                <w:bCs/>
                <w:color w:val="FFFFFF" w:themeColor="background1"/>
                <w:sz w:val="24"/>
                <w:szCs w:val="24"/>
              </w:rPr>
              <w:t>Stage 4 – Summary of the Appropriate Assessment (To be carried out by the Competent Authority (the local planning authority) in liaison with Natural England</w:t>
            </w:r>
          </w:p>
          <w:p w14:paraId="34B45623" w14:textId="77AF6806" w:rsidR="00C402CC" w:rsidRPr="000D57EB" w:rsidRDefault="00C402CC">
            <w:pPr>
              <w:rPr>
                <w:rFonts w:ascii="Arial" w:hAnsi="Arial" w:cs="Arial"/>
                <w:b/>
                <w:bCs/>
                <w:sz w:val="24"/>
                <w:szCs w:val="24"/>
              </w:rPr>
            </w:pPr>
          </w:p>
        </w:tc>
      </w:tr>
      <w:tr w:rsidR="00801DE3" w14:paraId="4FF88DE5" w14:textId="77777777" w:rsidTr="0001084D">
        <w:trPr>
          <w:trHeight w:val="249"/>
        </w:trPr>
        <w:tc>
          <w:tcPr>
            <w:tcW w:w="0" w:type="auto"/>
          </w:tcPr>
          <w:p w14:paraId="7DD9B763" w14:textId="77777777" w:rsidR="00C402CC" w:rsidRDefault="00C402CC" w:rsidP="00C402CC">
            <w:pPr>
              <w:pStyle w:val="TableParagraph"/>
              <w:spacing w:before="57"/>
            </w:pPr>
            <w:r>
              <w:t>This represents the authority’s Appropriate Assessment as Competent Authority in accordance with requirements under Regulation 63 of the Conservation of Habitats and Species Regulations 2017, and Article 6 (3) of the Habitats Directive.</w:t>
            </w:r>
          </w:p>
          <w:p w14:paraId="245D54FE" w14:textId="77777777" w:rsidR="00C402CC" w:rsidRDefault="00C402CC" w:rsidP="00C402CC">
            <w:pPr>
              <w:pStyle w:val="TableParagraph"/>
              <w:spacing w:before="57"/>
            </w:pPr>
          </w:p>
          <w:p w14:paraId="2B9249D9" w14:textId="77777777" w:rsidR="00C402CC" w:rsidRDefault="00C402CC" w:rsidP="00C402CC">
            <w:pPr>
              <w:pStyle w:val="TableParagraph"/>
              <w:spacing w:before="57"/>
            </w:pPr>
            <w:r>
              <w:t xml:space="preserve">The authority has concluded that the adverse effects arising from the proposal are wholly mitigated by SAMM and SANG investment. </w:t>
            </w:r>
          </w:p>
          <w:p w14:paraId="2627DECD" w14:textId="77777777" w:rsidR="00C402CC" w:rsidRDefault="00C402CC" w:rsidP="00C402CC">
            <w:pPr>
              <w:pStyle w:val="TableParagraph"/>
              <w:spacing w:before="57"/>
            </w:pPr>
          </w:p>
          <w:p w14:paraId="629B3790" w14:textId="77777777" w:rsidR="00C402CC" w:rsidRDefault="00C402CC" w:rsidP="00C402CC">
            <w:pPr>
              <w:pStyle w:val="TableParagraph"/>
              <w:spacing w:before="57"/>
            </w:pPr>
            <w:r>
              <w:t>The authority’s assessment is that the application complies with the relevant guidance and mitigation strategies outlined in the relevant guidance documents. Therefore, it can be concluded that there will be no adverse effect on the integrity of the designated sites identified above.</w:t>
            </w:r>
          </w:p>
          <w:p w14:paraId="4F321911" w14:textId="77777777" w:rsidR="00801DE3" w:rsidRDefault="00801DE3"/>
        </w:tc>
      </w:tr>
      <w:tr w:rsidR="00801DE3" w14:paraId="7C0B5375" w14:textId="77777777" w:rsidTr="006E0A03">
        <w:trPr>
          <w:trHeight w:val="1180"/>
        </w:trPr>
        <w:tc>
          <w:tcPr>
            <w:tcW w:w="0" w:type="auto"/>
          </w:tcPr>
          <w:p w14:paraId="3C76D84F" w14:textId="77777777" w:rsidR="006E0A03" w:rsidRDefault="006E0A03" w:rsidP="00C9670F">
            <w:pPr>
              <w:rPr>
                <w:rFonts w:ascii="Arial" w:hAnsi="Arial" w:cs="Arial"/>
              </w:rPr>
            </w:pPr>
          </w:p>
          <w:p w14:paraId="7DAC7DC0" w14:textId="6458C47D" w:rsidR="00C9670F" w:rsidRPr="00710052" w:rsidRDefault="00C9670F" w:rsidP="00C9670F">
            <w:pPr>
              <w:rPr>
                <w:rFonts w:ascii="Arial" w:hAnsi="Arial" w:cs="Arial"/>
              </w:rPr>
            </w:pPr>
            <w:r w:rsidRPr="00710052">
              <w:rPr>
                <w:rFonts w:ascii="Arial" w:hAnsi="Arial" w:cs="Arial"/>
              </w:rPr>
              <w:t xml:space="preserve">Natural England </w:t>
            </w:r>
            <w:proofErr w:type="gramStart"/>
            <w:r w:rsidRPr="00710052">
              <w:rPr>
                <w:rFonts w:ascii="Arial" w:hAnsi="Arial" w:cs="Arial"/>
              </w:rPr>
              <w:t>Officer:…</w:t>
            </w:r>
            <w:proofErr w:type="gramEnd"/>
            <w:r w:rsidRPr="00710052">
              <w:rPr>
                <w:rFonts w:ascii="Arial" w:hAnsi="Arial" w:cs="Arial"/>
              </w:rPr>
              <w:t>…………………..</w:t>
            </w:r>
          </w:p>
          <w:p w14:paraId="1684CDF8" w14:textId="77777777" w:rsidR="00801DE3" w:rsidRDefault="00C9670F" w:rsidP="00C9670F">
            <w:pPr>
              <w:rPr>
                <w:rFonts w:ascii="Arial" w:hAnsi="Arial" w:cs="Arial"/>
              </w:rPr>
            </w:pPr>
            <w:r w:rsidRPr="00710052">
              <w:rPr>
                <w:rFonts w:ascii="Arial" w:hAnsi="Arial" w:cs="Arial"/>
              </w:rPr>
              <w:t>(</w:t>
            </w:r>
            <w:proofErr w:type="gramStart"/>
            <w:r w:rsidRPr="00710052">
              <w:rPr>
                <w:rFonts w:ascii="Arial" w:hAnsi="Arial" w:cs="Arial"/>
              </w:rPr>
              <w:t>if</w:t>
            </w:r>
            <w:proofErr w:type="gramEnd"/>
            <w:r w:rsidRPr="00710052">
              <w:rPr>
                <w:rFonts w:ascii="Arial" w:hAnsi="Arial" w:cs="Arial"/>
              </w:rPr>
              <w:t xml:space="preserve"> relevant)</w:t>
            </w:r>
          </w:p>
          <w:p w14:paraId="0D68798A" w14:textId="0C75993F" w:rsidR="00710052" w:rsidRPr="00710052" w:rsidRDefault="00710052" w:rsidP="00C9670F">
            <w:pPr>
              <w:rPr>
                <w:rFonts w:ascii="Arial" w:hAnsi="Arial" w:cs="Arial"/>
              </w:rPr>
            </w:pPr>
          </w:p>
        </w:tc>
      </w:tr>
      <w:tr w:rsidR="00801DE3" w14:paraId="2C8359F4" w14:textId="77777777" w:rsidTr="0001084D">
        <w:trPr>
          <w:trHeight w:val="249"/>
        </w:trPr>
        <w:tc>
          <w:tcPr>
            <w:tcW w:w="0" w:type="auto"/>
          </w:tcPr>
          <w:p w14:paraId="63C2603C" w14:textId="674C63B9" w:rsidR="00B44487" w:rsidRPr="006E0A03" w:rsidRDefault="00B44487" w:rsidP="00B44487">
            <w:pPr>
              <w:pStyle w:val="TableParagraph"/>
              <w:spacing w:before="57"/>
              <w:rPr>
                <w:b/>
                <w:bCs/>
              </w:rPr>
            </w:pPr>
            <w:r w:rsidRPr="006E0A03">
              <w:rPr>
                <w:b/>
                <w:bCs/>
              </w:rPr>
              <w:t xml:space="preserve">Competent Authority </w:t>
            </w:r>
          </w:p>
          <w:p w14:paraId="32F2C43A" w14:textId="77777777" w:rsidR="00B44487" w:rsidRPr="00710052" w:rsidRDefault="00B44487" w:rsidP="00B44487">
            <w:pPr>
              <w:pStyle w:val="TableParagraph"/>
              <w:spacing w:before="57"/>
            </w:pPr>
          </w:p>
          <w:p w14:paraId="265EA429" w14:textId="77777777" w:rsidR="00B44487" w:rsidRPr="00710052" w:rsidRDefault="00B44487" w:rsidP="00B44487">
            <w:pPr>
              <w:pStyle w:val="TableParagraph"/>
              <w:spacing w:before="57"/>
            </w:pPr>
            <w:proofErr w:type="spellStart"/>
            <w:r w:rsidRPr="00710052">
              <w:t>Authorised</w:t>
            </w:r>
            <w:proofErr w:type="spellEnd"/>
            <w:r w:rsidRPr="00710052">
              <w:t xml:space="preserve"> under delegated powers</w:t>
            </w:r>
          </w:p>
          <w:p w14:paraId="17CC907D" w14:textId="77777777" w:rsidR="00B44487" w:rsidRPr="00710052" w:rsidRDefault="00B44487" w:rsidP="00B44487">
            <w:pPr>
              <w:pStyle w:val="TableParagraph"/>
              <w:spacing w:before="57"/>
            </w:pPr>
          </w:p>
          <w:p w14:paraId="7DB5F425" w14:textId="5DF961F1" w:rsidR="006E0A03" w:rsidRDefault="00B44487" w:rsidP="00B44487">
            <w:pPr>
              <w:pStyle w:val="TableParagraph"/>
              <w:spacing w:before="57"/>
            </w:pPr>
            <w:r w:rsidRPr="00710052">
              <w:t>Head of Service…………………</w:t>
            </w:r>
            <w:r w:rsidR="006E0A03">
              <w:t>……</w:t>
            </w:r>
            <w:r w:rsidRPr="00710052">
              <w:tab/>
            </w:r>
          </w:p>
          <w:p w14:paraId="44907531" w14:textId="77777777" w:rsidR="006E0A03" w:rsidRDefault="006E0A03" w:rsidP="00B44487">
            <w:pPr>
              <w:pStyle w:val="TableParagraph"/>
              <w:spacing w:before="57"/>
            </w:pPr>
          </w:p>
          <w:p w14:paraId="1DCFCBDA" w14:textId="6D334F60" w:rsidR="00B44487" w:rsidRDefault="00B44487" w:rsidP="00B44487">
            <w:pPr>
              <w:pStyle w:val="TableParagraph"/>
              <w:spacing w:before="57"/>
            </w:pPr>
            <w:r w:rsidRPr="00710052">
              <w:t>Signed ……………………</w:t>
            </w:r>
            <w:r w:rsidR="006E0A03">
              <w:t>………</w:t>
            </w:r>
            <w:proofErr w:type="gramStart"/>
            <w:r w:rsidR="006E0A03">
              <w:t>…..</w:t>
            </w:r>
            <w:proofErr w:type="gramEnd"/>
          </w:p>
          <w:p w14:paraId="2F72B42B" w14:textId="72A4967D" w:rsidR="006E0A03" w:rsidRDefault="006E0A03" w:rsidP="00B44487">
            <w:pPr>
              <w:pStyle w:val="TableParagraph"/>
              <w:spacing w:before="57"/>
            </w:pPr>
          </w:p>
          <w:p w14:paraId="13EA7FD4" w14:textId="779B29EE" w:rsidR="00801DE3" w:rsidRDefault="006E0A03" w:rsidP="00B44487">
            <w:pPr>
              <w:rPr>
                <w:rFonts w:ascii="Arial" w:hAnsi="Arial" w:cs="Arial"/>
              </w:rPr>
            </w:pPr>
            <w:r>
              <w:rPr>
                <w:rFonts w:ascii="Arial" w:hAnsi="Arial" w:cs="Arial"/>
              </w:rPr>
              <w:t xml:space="preserve"> </w:t>
            </w:r>
            <w:r w:rsidR="00B44487" w:rsidRPr="00710052">
              <w:rPr>
                <w:rFonts w:ascii="Arial" w:hAnsi="Arial" w:cs="Arial"/>
              </w:rPr>
              <w:t>Date ………………….</w:t>
            </w:r>
          </w:p>
          <w:p w14:paraId="1A2B691A" w14:textId="77777777" w:rsidR="00710052" w:rsidRDefault="00710052" w:rsidP="00B44487">
            <w:pPr>
              <w:rPr>
                <w:rFonts w:ascii="Arial" w:hAnsi="Arial" w:cs="Arial"/>
              </w:rPr>
            </w:pPr>
          </w:p>
          <w:p w14:paraId="598DB5C6" w14:textId="2636AA2E" w:rsidR="00710052" w:rsidRPr="00710052" w:rsidRDefault="00710052" w:rsidP="00B44487">
            <w:pPr>
              <w:rPr>
                <w:rFonts w:ascii="Arial" w:hAnsi="Arial" w:cs="Arial"/>
              </w:rPr>
            </w:pPr>
          </w:p>
        </w:tc>
      </w:tr>
    </w:tbl>
    <w:p w14:paraId="0F85D2A3" w14:textId="1BEE697F" w:rsidR="00801DE3" w:rsidRDefault="00801DE3"/>
    <w:p w14:paraId="2451DC0B" w14:textId="77777777" w:rsidR="00801DE3" w:rsidRDefault="00801DE3"/>
    <w:sectPr w:rsidR="00801D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F390" w14:textId="77777777" w:rsidR="00A63145" w:rsidRDefault="00A63145" w:rsidP="00280D46">
      <w:pPr>
        <w:spacing w:after="0" w:line="240" w:lineRule="auto"/>
      </w:pPr>
      <w:r>
        <w:separator/>
      </w:r>
    </w:p>
  </w:endnote>
  <w:endnote w:type="continuationSeparator" w:id="0">
    <w:p w14:paraId="1FCAA2C4" w14:textId="77777777" w:rsidR="00A63145" w:rsidRDefault="00A63145" w:rsidP="0028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57A9" w14:textId="77777777" w:rsidR="00A63145" w:rsidRDefault="00A63145" w:rsidP="00280D46">
      <w:pPr>
        <w:spacing w:after="0" w:line="240" w:lineRule="auto"/>
      </w:pPr>
      <w:r>
        <w:separator/>
      </w:r>
    </w:p>
  </w:footnote>
  <w:footnote w:type="continuationSeparator" w:id="0">
    <w:p w14:paraId="6E585376" w14:textId="77777777" w:rsidR="00A63145" w:rsidRDefault="00A63145" w:rsidP="00280D46">
      <w:pPr>
        <w:spacing w:after="0" w:line="240" w:lineRule="auto"/>
      </w:pPr>
      <w:r>
        <w:continuationSeparator/>
      </w:r>
    </w:p>
  </w:footnote>
  <w:footnote w:id="1">
    <w:p w14:paraId="20209183" w14:textId="1BAACD75" w:rsidR="00280D46" w:rsidRDefault="00280D46">
      <w:pPr>
        <w:pStyle w:val="FootnoteText"/>
      </w:pPr>
      <w:r>
        <w:rPr>
          <w:rStyle w:val="FootnoteReference"/>
        </w:rPr>
        <w:footnoteRef/>
      </w:r>
      <w:r>
        <w:t xml:space="preserve"> To be completed by LBWF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844"/>
    <w:multiLevelType w:val="hybridMultilevel"/>
    <w:tmpl w:val="A2F2BE36"/>
    <w:lvl w:ilvl="0" w:tplc="A044FE96">
      <w:numFmt w:val="bullet"/>
      <w:lvlText w:val=""/>
      <w:lvlJc w:val="left"/>
      <w:pPr>
        <w:ind w:left="777" w:hanging="360"/>
      </w:pPr>
      <w:rPr>
        <w:rFonts w:ascii="Symbol" w:eastAsia="Symbol" w:hAnsi="Symbol" w:cs="Symbol" w:hint="default"/>
        <w:w w:val="100"/>
        <w:sz w:val="22"/>
        <w:szCs w:val="22"/>
      </w:rPr>
    </w:lvl>
    <w:lvl w:ilvl="1" w:tplc="85C0B122">
      <w:numFmt w:val="bullet"/>
      <w:lvlText w:val="•"/>
      <w:lvlJc w:val="left"/>
      <w:pPr>
        <w:ind w:left="1660" w:hanging="360"/>
      </w:pPr>
      <w:rPr>
        <w:rFonts w:hint="default"/>
      </w:rPr>
    </w:lvl>
    <w:lvl w:ilvl="2" w:tplc="F8F8CF20">
      <w:numFmt w:val="bullet"/>
      <w:lvlText w:val="•"/>
      <w:lvlJc w:val="left"/>
      <w:pPr>
        <w:ind w:left="2540" w:hanging="360"/>
      </w:pPr>
      <w:rPr>
        <w:rFonts w:hint="default"/>
      </w:rPr>
    </w:lvl>
    <w:lvl w:ilvl="3" w:tplc="B0E0FE14">
      <w:numFmt w:val="bullet"/>
      <w:lvlText w:val="•"/>
      <w:lvlJc w:val="left"/>
      <w:pPr>
        <w:ind w:left="3420" w:hanging="360"/>
      </w:pPr>
      <w:rPr>
        <w:rFonts w:hint="default"/>
      </w:rPr>
    </w:lvl>
    <w:lvl w:ilvl="4" w:tplc="137E381C">
      <w:numFmt w:val="bullet"/>
      <w:lvlText w:val="•"/>
      <w:lvlJc w:val="left"/>
      <w:pPr>
        <w:ind w:left="4300" w:hanging="360"/>
      </w:pPr>
      <w:rPr>
        <w:rFonts w:hint="default"/>
      </w:rPr>
    </w:lvl>
    <w:lvl w:ilvl="5" w:tplc="D30C2046">
      <w:numFmt w:val="bullet"/>
      <w:lvlText w:val="•"/>
      <w:lvlJc w:val="left"/>
      <w:pPr>
        <w:ind w:left="5180" w:hanging="360"/>
      </w:pPr>
      <w:rPr>
        <w:rFonts w:hint="default"/>
      </w:rPr>
    </w:lvl>
    <w:lvl w:ilvl="6" w:tplc="A01E0AF2">
      <w:numFmt w:val="bullet"/>
      <w:lvlText w:val="•"/>
      <w:lvlJc w:val="left"/>
      <w:pPr>
        <w:ind w:left="6060" w:hanging="360"/>
      </w:pPr>
      <w:rPr>
        <w:rFonts w:hint="default"/>
      </w:rPr>
    </w:lvl>
    <w:lvl w:ilvl="7" w:tplc="5CA0CEFC">
      <w:numFmt w:val="bullet"/>
      <w:lvlText w:val="•"/>
      <w:lvlJc w:val="left"/>
      <w:pPr>
        <w:ind w:left="6940" w:hanging="360"/>
      </w:pPr>
      <w:rPr>
        <w:rFonts w:hint="default"/>
      </w:rPr>
    </w:lvl>
    <w:lvl w:ilvl="8" w:tplc="4B849F9C">
      <w:numFmt w:val="bullet"/>
      <w:lvlText w:val="•"/>
      <w:lvlJc w:val="left"/>
      <w:pPr>
        <w:ind w:left="7820" w:hanging="360"/>
      </w:pPr>
      <w:rPr>
        <w:rFonts w:hint="default"/>
      </w:rPr>
    </w:lvl>
  </w:abstractNum>
  <w:abstractNum w:abstractNumId="1" w15:restartNumberingAfterBreak="0">
    <w:nsid w:val="2C2F306C"/>
    <w:multiLevelType w:val="hybridMultilevel"/>
    <w:tmpl w:val="BE0446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35885CA6"/>
    <w:multiLevelType w:val="hybridMultilevel"/>
    <w:tmpl w:val="1732384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6AD53DEF"/>
    <w:multiLevelType w:val="hybridMultilevel"/>
    <w:tmpl w:val="763AF9B4"/>
    <w:lvl w:ilvl="0" w:tplc="373EA932">
      <w:numFmt w:val="bullet"/>
      <w:lvlText w:val="-"/>
      <w:lvlJc w:val="left"/>
      <w:pPr>
        <w:ind w:left="498" w:hanging="360"/>
      </w:pPr>
      <w:rPr>
        <w:rFonts w:ascii="Arial" w:eastAsia="Arial" w:hAnsi="Arial" w:cs="Arial" w:hint="default"/>
        <w:w w:val="100"/>
        <w:sz w:val="22"/>
        <w:szCs w:val="22"/>
      </w:rPr>
    </w:lvl>
    <w:lvl w:ilvl="1" w:tplc="8BB885E2">
      <w:numFmt w:val="bullet"/>
      <w:lvlText w:val="•"/>
      <w:lvlJc w:val="left"/>
      <w:pPr>
        <w:ind w:left="977" w:hanging="360"/>
      </w:pPr>
      <w:rPr>
        <w:rFonts w:hint="default"/>
      </w:rPr>
    </w:lvl>
    <w:lvl w:ilvl="2" w:tplc="D9460046">
      <w:numFmt w:val="bullet"/>
      <w:lvlText w:val="•"/>
      <w:lvlJc w:val="left"/>
      <w:pPr>
        <w:ind w:left="1455" w:hanging="360"/>
      </w:pPr>
      <w:rPr>
        <w:rFonts w:hint="default"/>
      </w:rPr>
    </w:lvl>
    <w:lvl w:ilvl="3" w:tplc="E7D43B00">
      <w:numFmt w:val="bullet"/>
      <w:lvlText w:val="•"/>
      <w:lvlJc w:val="left"/>
      <w:pPr>
        <w:ind w:left="1933" w:hanging="360"/>
      </w:pPr>
      <w:rPr>
        <w:rFonts w:hint="default"/>
      </w:rPr>
    </w:lvl>
    <w:lvl w:ilvl="4" w:tplc="C3121A38">
      <w:numFmt w:val="bullet"/>
      <w:lvlText w:val="•"/>
      <w:lvlJc w:val="left"/>
      <w:pPr>
        <w:ind w:left="2411" w:hanging="360"/>
      </w:pPr>
      <w:rPr>
        <w:rFonts w:hint="default"/>
      </w:rPr>
    </w:lvl>
    <w:lvl w:ilvl="5" w:tplc="520AB7EE">
      <w:numFmt w:val="bullet"/>
      <w:lvlText w:val="•"/>
      <w:lvlJc w:val="left"/>
      <w:pPr>
        <w:ind w:left="2889" w:hanging="360"/>
      </w:pPr>
      <w:rPr>
        <w:rFonts w:hint="default"/>
      </w:rPr>
    </w:lvl>
    <w:lvl w:ilvl="6" w:tplc="B644DA30">
      <w:numFmt w:val="bullet"/>
      <w:lvlText w:val="•"/>
      <w:lvlJc w:val="left"/>
      <w:pPr>
        <w:ind w:left="3367" w:hanging="360"/>
      </w:pPr>
      <w:rPr>
        <w:rFonts w:hint="default"/>
      </w:rPr>
    </w:lvl>
    <w:lvl w:ilvl="7" w:tplc="1714CABC">
      <w:numFmt w:val="bullet"/>
      <w:lvlText w:val="•"/>
      <w:lvlJc w:val="left"/>
      <w:pPr>
        <w:ind w:left="3845" w:hanging="360"/>
      </w:pPr>
      <w:rPr>
        <w:rFonts w:hint="default"/>
      </w:rPr>
    </w:lvl>
    <w:lvl w:ilvl="8" w:tplc="4D0E7856">
      <w:numFmt w:val="bullet"/>
      <w:lvlText w:val="•"/>
      <w:lvlJc w:val="left"/>
      <w:pPr>
        <w:ind w:left="4323"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40"/>
    <w:rsid w:val="0001084D"/>
    <w:rsid w:val="00061166"/>
    <w:rsid w:val="0006385D"/>
    <w:rsid w:val="000A02B6"/>
    <w:rsid w:val="000A209C"/>
    <w:rsid w:val="000D57EB"/>
    <w:rsid w:val="000E21D7"/>
    <w:rsid w:val="000F381E"/>
    <w:rsid w:val="001205F4"/>
    <w:rsid w:val="00122648"/>
    <w:rsid w:val="00127E1A"/>
    <w:rsid w:val="00161A8B"/>
    <w:rsid w:val="00174E29"/>
    <w:rsid w:val="001A4B81"/>
    <w:rsid w:val="001B2370"/>
    <w:rsid w:val="001C1FA3"/>
    <w:rsid w:val="001E5835"/>
    <w:rsid w:val="0021654F"/>
    <w:rsid w:val="00224102"/>
    <w:rsid w:val="0027273F"/>
    <w:rsid w:val="00280D46"/>
    <w:rsid w:val="00306FED"/>
    <w:rsid w:val="003379C6"/>
    <w:rsid w:val="003B6156"/>
    <w:rsid w:val="003B7C54"/>
    <w:rsid w:val="00496882"/>
    <w:rsid w:val="0050328B"/>
    <w:rsid w:val="00510940"/>
    <w:rsid w:val="005479BD"/>
    <w:rsid w:val="00551F41"/>
    <w:rsid w:val="00591E05"/>
    <w:rsid w:val="00595CF9"/>
    <w:rsid w:val="005D7B0C"/>
    <w:rsid w:val="005F649A"/>
    <w:rsid w:val="005F7A43"/>
    <w:rsid w:val="00616934"/>
    <w:rsid w:val="00652917"/>
    <w:rsid w:val="0067549A"/>
    <w:rsid w:val="00677A4C"/>
    <w:rsid w:val="00687F1B"/>
    <w:rsid w:val="006C1335"/>
    <w:rsid w:val="006C474E"/>
    <w:rsid w:val="006D5888"/>
    <w:rsid w:val="006E0A03"/>
    <w:rsid w:val="006E42A8"/>
    <w:rsid w:val="00710052"/>
    <w:rsid w:val="007166DB"/>
    <w:rsid w:val="00726706"/>
    <w:rsid w:val="007E75D8"/>
    <w:rsid w:val="00801DE3"/>
    <w:rsid w:val="00803D97"/>
    <w:rsid w:val="0084208B"/>
    <w:rsid w:val="00865865"/>
    <w:rsid w:val="009061D0"/>
    <w:rsid w:val="0090755D"/>
    <w:rsid w:val="009172DD"/>
    <w:rsid w:val="00932B92"/>
    <w:rsid w:val="00950BF0"/>
    <w:rsid w:val="00954B05"/>
    <w:rsid w:val="00976528"/>
    <w:rsid w:val="009A113A"/>
    <w:rsid w:val="00A15D3B"/>
    <w:rsid w:val="00A22A1B"/>
    <w:rsid w:val="00A567E2"/>
    <w:rsid w:val="00A63145"/>
    <w:rsid w:val="00B44487"/>
    <w:rsid w:val="00B71075"/>
    <w:rsid w:val="00B73CC4"/>
    <w:rsid w:val="00B80156"/>
    <w:rsid w:val="00B81C3E"/>
    <w:rsid w:val="00BA60AC"/>
    <w:rsid w:val="00C05DA3"/>
    <w:rsid w:val="00C24C30"/>
    <w:rsid w:val="00C402CC"/>
    <w:rsid w:val="00C9670F"/>
    <w:rsid w:val="00CA34EA"/>
    <w:rsid w:val="00CA7DE8"/>
    <w:rsid w:val="00CD5701"/>
    <w:rsid w:val="00CE4D80"/>
    <w:rsid w:val="00CE685F"/>
    <w:rsid w:val="00CF695E"/>
    <w:rsid w:val="00D03342"/>
    <w:rsid w:val="00D12362"/>
    <w:rsid w:val="00D21098"/>
    <w:rsid w:val="00DB4FC6"/>
    <w:rsid w:val="00DB6AAD"/>
    <w:rsid w:val="00DC3DD0"/>
    <w:rsid w:val="00E677A0"/>
    <w:rsid w:val="00E701D9"/>
    <w:rsid w:val="00E76FD3"/>
    <w:rsid w:val="00EB4694"/>
    <w:rsid w:val="00F4731C"/>
    <w:rsid w:val="00F507D9"/>
    <w:rsid w:val="00F61D88"/>
    <w:rsid w:val="00F65279"/>
    <w:rsid w:val="00F80602"/>
    <w:rsid w:val="00F87798"/>
    <w:rsid w:val="00F91B93"/>
    <w:rsid w:val="00FA2BD7"/>
    <w:rsid w:val="00FD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BB32"/>
  <w15:chartTrackingRefBased/>
  <w15:docId w15:val="{ADCFAECC-7158-4E6F-9057-FF66471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0940"/>
    <w:pPr>
      <w:widowControl w:val="0"/>
      <w:autoSpaceDE w:val="0"/>
      <w:autoSpaceDN w:val="0"/>
      <w:spacing w:before="4" w:after="0" w:line="240" w:lineRule="auto"/>
      <w:ind w:left="919"/>
      <w:outlineLvl w:val="0"/>
    </w:pPr>
    <w:rPr>
      <w:rFonts w:ascii="Arial" w:eastAsia="Arial" w:hAnsi="Arial" w:cs="Arial"/>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940"/>
    <w:rPr>
      <w:rFonts w:ascii="Arial" w:eastAsia="Arial" w:hAnsi="Arial" w:cs="Arial"/>
      <w:sz w:val="31"/>
      <w:szCs w:val="31"/>
      <w:lang w:val="en-US"/>
    </w:rPr>
  </w:style>
  <w:style w:type="table" w:styleId="TableGrid">
    <w:name w:val="Table Grid"/>
    <w:basedOn w:val="TableNormal"/>
    <w:uiPriority w:val="39"/>
    <w:rsid w:val="0051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1C3E"/>
    <w:pPr>
      <w:widowControl w:val="0"/>
      <w:autoSpaceDE w:val="0"/>
      <w:autoSpaceDN w:val="0"/>
      <w:spacing w:after="0" w:line="240" w:lineRule="auto"/>
      <w:ind w:left="57"/>
    </w:pPr>
    <w:rPr>
      <w:rFonts w:ascii="Arial" w:eastAsia="Arial" w:hAnsi="Arial" w:cs="Arial"/>
      <w:lang w:val="en-US"/>
    </w:rPr>
  </w:style>
  <w:style w:type="character" w:styleId="CommentReference">
    <w:name w:val="annotation reference"/>
    <w:basedOn w:val="DefaultParagraphFont"/>
    <w:uiPriority w:val="99"/>
    <w:semiHidden/>
    <w:unhideWhenUsed/>
    <w:rsid w:val="00E677A0"/>
    <w:rPr>
      <w:sz w:val="16"/>
      <w:szCs w:val="16"/>
    </w:rPr>
  </w:style>
  <w:style w:type="paragraph" w:styleId="CommentText">
    <w:name w:val="annotation text"/>
    <w:basedOn w:val="Normal"/>
    <w:link w:val="CommentTextChar"/>
    <w:uiPriority w:val="99"/>
    <w:semiHidden/>
    <w:unhideWhenUsed/>
    <w:rsid w:val="00E677A0"/>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E677A0"/>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9061D0"/>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061D0"/>
    <w:rPr>
      <w:rFonts w:ascii="Arial" w:eastAsia="Arial" w:hAnsi="Arial" w:cs="Arial"/>
      <w:b/>
      <w:bCs/>
      <w:sz w:val="20"/>
      <w:szCs w:val="20"/>
      <w:lang w:val="en-US"/>
    </w:rPr>
  </w:style>
  <w:style w:type="paragraph" w:styleId="FootnoteText">
    <w:name w:val="footnote text"/>
    <w:basedOn w:val="Normal"/>
    <w:link w:val="FootnoteTextChar"/>
    <w:uiPriority w:val="99"/>
    <w:semiHidden/>
    <w:unhideWhenUsed/>
    <w:rsid w:val="00280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D46"/>
    <w:rPr>
      <w:sz w:val="20"/>
      <w:szCs w:val="20"/>
    </w:rPr>
  </w:style>
  <w:style w:type="character" w:styleId="FootnoteReference">
    <w:name w:val="footnote reference"/>
    <w:basedOn w:val="DefaultParagraphFont"/>
    <w:uiPriority w:val="99"/>
    <w:semiHidden/>
    <w:unhideWhenUsed/>
    <w:rsid w:val="00280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1f6061-c6f1-4577-a355-73ee4609da04">
      <Terms xmlns="http://schemas.microsoft.com/office/infopath/2007/PartnerControls"/>
    </lcf76f155ced4ddcb4097134ff3c332f>
    <TaxCatchAll xmlns="2752e4ff-0d5b-46de-b236-d00dbc8f5e4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CC03AA1861FE4DBC7BF5DB6DB766EA" ma:contentTypeVersion="13" ma:contentTypeDescription="Create a new document." ma:contentTypeScope="" ma:versionID="893660e1ea4ddc41c4b15890e9031720">
  <xsd:schema xmlns:xsd="http://www.w3.org/2001/XMLSchema" xmlns:xs="http://www.w3.org/2001/XMLSchema" xmlns:p="http://schemas.microsoft.com/office/2006/metadata/properties" xmlns:ns2="c91f6061-c6f1-4577-a355-73ee4609da04" xmlns:ns3="2752e4ff-0d5b-46de-b236-d00dbc8f5e48" targetNamespace="http://schemas.microsoft.com/office/2006/metadata/properties" ma:root="true" ma:fieldsID="b850bb8c4536c821ab9b691680ed2ca9" ns2:_="" ns3:_="">
    <xsd:import namespace="c91f6061-c6f1-4577-a355-73ee4609da04"/>
    <xsd:import namespace="2752e4ff-0d5b-46de-b236-d00dbc8f5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f6061-c6f1-4577-a355-73ee4609d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2e4ff-0d5b-46de-b236-d00dbc8f5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86280c-ccbf-4f4c-ba30-2fe505e18335}" ma:internalName="TaxCatchAll" ma:showField="CatchAllData" ma:web="2752e4ff-0d5b-46de-b236-d00dbc8f5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EADD3-5F4D-4124-95D9-C0B73D94DE36}">
  <ds:schemaRefs>
    <ds:schemaRef ds:uri="http://schemas.microsoft.com/office/2006/metadata/properties"/>
    <ds:schemaRef ds:uri="http://schemas.microsoft.com/office/infopath/2007/PartnerControls"/>
    <ds:schemaRef ds:uri="c91f6061-c6f1-4577-a355-73ee4609da04"/>
    <ds:schemaRef ds:uri="2752e4ff-0d5b-46de-b236-d00dbc8f5e48"/>
  </ds:schemaRefs>
</ds:datastoreItem>
</file>

<file path=customXml/itemProps2.xml><?xml version="1.0" encoding="utf-8"?>
<ds:datastoreItem xmlns:ds="http://schemas.openxmlformats.org/officeDocument/2006/customXml" ds:itemID="{03343168-D41A-4CDE-B8CE-B0FBAFBFAD86}">
  <ds:schemaRefs>
    <ds:schemaRef ds:uri="http://schemas.openxmlformats.org/officeDocument/2006/bibliography"/>
  </ds:schemaRefs>
</ds:datastoreItem>
</file>

<file path=customXml/itemProps3.xml><?xml version="1.0" encoding="utf-8"?>
<ds:datastoreItem xmlns:ds="http://schemas.openxmlformats.org/officeDocument/2006/customXml" ds:itemID="{7FB237CB-18A1-454D-98B9-F6CE0EA1483E}">
  <ds:schemaRefs>
    <ds:schemaRef ds:uri="http://schemas.microsoft.com/sharepoint/v3/contenttype/forms"/>
  </ds:schemaRefs>
</ds:datastoreItem>
</file>

<file path=customXml/itemProps4.xml><?xml version="1.0" encoding="utf-8"?>
<ds:datastoreItem xmlns:ds="http://schemas.openxmlformats.org/officeDocument/2006/customXml" ds:itemID="{635504DE-AB6B-4043-B727-EB4338785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f6061-c6f1-4577-a355-73ee4609da04"/>
    <ds:schemaRef ds:uri="2752e4ff-0d5b-46de-b236-d00dbc8f5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7224</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vt:lpstr>
      <vt:lpstr/>
      <vt:lpstr>LBWF Epping Forest Recreational Mitigation Strategy </vt:lpstr>
      <vt:lpstr>Habitat Regulation Assessment (HRA) template</vt:lpstr>
      <vt:lpstr/>
      <vt:lpstr>PLEASE NOTE: Undertaking the HRA process is the responsibility of the decision m</vt:lpstr>
      <vt:lpstr/>
      <vt: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Bathie</dc:creator>
  <cp:keywords/>
  <dc:description/>
  <cp:lastModifiedBy>Alexander Ross</cp:lastModifiedBy>
  <cp:revision>2</cp:revision>
  <dcterms:created xsi:type="dcterms:W3CDTF">2022-11-25T16:39:00Z</dcterms:created>
  <dcterms:modified xsi:type="dcterms:W3CDTF">2022-11-25T16:39:00Z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0x0101007FCC03AA1861FE4DBC7BF5DB6DB766EA</vt:lpwstr>
  </property>
  <property fmtid="{D5CDD505-2E9C-101B-9397-08002B2CF9AE}" pid="3" name="MediaServiceImageTags">
    <vt:lpwstr/>
  </property>
</Properties>
</file>