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920D" w14:textId="77777777" w:rsidR="000671DC" w:rsidRPr="000671DC" w:rsidRDefault="000671DC" w:rsidP="000671DC">
      <w:pPr>
        <w:spacing w:after="200" w:line="276" w:lineRule="auto"/>
        <w:jc w:val="center"/>
        <w:rPr>
          <w:rFonts w:ascii="Verdana" w:eastAsia="Calibri" w:hAnsi="Verdana" w:cs="Times New Roman"/>
          <w:b/>
          <w:sz w:val="32"/>
          <w:szCs w:val="32"/>
        </w:rPr>
      </w:pPr>
      <w:r w:rsidRPr="000671DC">
        <w:rPr>
          <w:rFonts w:ascii="Verdana" w:eastAsia="Calibri" w:hAnsi="Verdana" w:cs="Times New Roman"/>
          <w:b/>
          <w:sz w:val="32"/>
          <w:szCs w:val="32"/>
        </w:rPr>
        <w:t xml:space="preserve">Waltham Forest Local Plan LP1 </w:t>
      </w:r>
    </w:p>
    <w:p w14:paraId="0D0CD524" w14:textId="57278D68" w:rsidR="000671DC" w:rsidRPr="000671DC" w:rsidRDefault="11012C1B" w:rsidP="2255FCAF">
      <w:pPr>
        <w:spacing w:after="200" w:line="276" w:lineRule="auto"/>
        <w:jc w:val="center"/>
        <w:rPr>
          <w:rFonts w:ascii="Verdana" w:eastAsia="Calibri" w:hAnsi="Verdana" w:cs="Times New Roman"/>
          <w:b/>
          <w:bCs/>
          <w:sz w:val="24"/>
          <w:szCs w:val="24"/>
        </w:rPr>
      </w:pPr>
      <w:r w:rsidRPr="2255FCAF">
        <w:rPr>
          <w:rFonts w:ascii="Verdana" w:eastAsia="Calibri" w:hAnsi="Verdana" w:cs="Times New Roman"/>
          <w:b/>
          <w:bCs/>
          <w:sz w:val="24"/>
          <w:szCs w:val="24"/>
        </w:rPr>
        <w:t xml:space="preserve">Examination Hearing Day </w:t>
      </w:r>
      <w:r w:rsidR="181035FF" w:rsidRPr="2255FCAF">
        <w:rPr>
          <w:rFonts w:ascii="Verdana" w:eastAsia="Calibri" w:hAnsi="Verdana" w:cs="Times New Roman"/>
          <w:b/>
          <w:bCs/>
          <w:sz w:val="24"/>
          <w:szCs w:val="24"/>
        </w:rPr>
        <w:t>6</w:t>
      </w:r>
      <w:r w:rsidRPr="2255FCAF">
        <w:rPr>
          <w:rFonts w:ascii="Verdana" w:eastAsia="Calibri" w:hAnsi="Verdana" w:cs="Times New Roman"/>
          <w:b/>
          <w:bCs/>
          <w:sz w:val="24"/>
          <w:szCs w:val="24"/>
        </w:rPr>
        <w:t xml:space="preserve"> </w:t>
      </w:r>
      <w:r w:rsidR="72A7BFC5" w:rsidRPr="2255FCAF">
        <w:rPr>
          <w:rFonts w:ascii="Verdana" w:eastAsia="Calibri" w:hAnsi="Verdana" w:cs="Times New Roman"/>
          <w:b/>
          <w:bCs/>
          <w:sz w:val="24"/>
          <w:szCs w:val="24"/>
        </w:rPr>
        <w:t>–</w:t>
      </w:r>
      <w:r w:rsidRPr="2255FCAF">
        <w:rPr>
          <w:rFonts w:ascii="Verdana" w:eastAsia="Calibri" w:hAnsi="Verdana" w:cs="Times New Roman"/>
          <w:b/>
          <w:bCs/>
          <w:sz w:val="24"/>
          <w:szCs w:val="24"/>
        </w:rPr>
        <w:t xml:space="preserve"> </w:t>
      </w:r>
      <w:r w:rsidR="561FD805" w:rsidRPr="2255FCAF">
        <w:rPr>
          <w:rFonts w:ascii="Verdana" w:eastAsia="Calibri" w:hAnsi="Verdana" w:cs="Times New Roman"/>
          <w:b/>
          <w:bCs/>
          <w:sz w:val="24"/>
          <w:szCs w:val="24"/>
        </w:rPr>
        <w:t xml:space="preserve">Matter 8 </w:t>
      </w:r>
    </w:p>
    <w:p w14:paraId="40598671" w14:textId="4E08360F" w:rsidR="000671DC" w:rsidRPr="000671DC" w:rsidRDefault="181035FF" w:rsidP="000671DC">
      <w:pPr>
        <w:spacing w:after="200" w:line="276" w:lineRule="auto"/>
        <w:jc w:val="center"/>
        <w:rPr>
          <w:rFonts w:ascii="Verdana" w:eastAsia="Calibri" w:hAnsi="Verdana" w:cs="Times New Roman"/>
          <w:sz w:val="24"/>
          <w:szCs w:val="24"/>
        </w:rPr>
      </w:pPr>
      <w:r w:rsidRPr="2255FCAF">
        <w:rPr>
          <w:rFonts w:ascii="Verdana" w:eastAsia="Calibri" w:hAnsi="Verdana" w:cs="Times New Roman"/>
          <w:sz w:val="24"/>
          <w:szCs w:val="24"/>
        </w:rPr>
        <w:t>Thur</w:t>
      </w:r>
      <w:r w:rsidR="5A902492" w:rsidRPr="2255FCAF">
        <w:rPr>
          <w:rFonts w:ascii="Verdana" w:eastAsia="Calibri" w:hAnsi="Verdana" w:cs="Times New Roman"/>
          <w:sz w:val="24"/>
          <w:szCs w:val="24"/>
        </w:rPr>
        <w:t>sday 2</w:t>
      </w:r>
      <w:r w:rsidRPr="2255FCAF">
        <w:rPr>
          <w:rFonts w:ascii="Verdana" w:eastAsia="Calibri" w:hAnsi="Verdana" w:cs="Times New Roman"/>
          <w:sz w:val="24"/>
          <w:szCs w:val="24"/>
        </w:rPr>
        <w:t>4</w:t>
      </w:r>
      <w:r w:rsidR="11012C1B" w:rsidRPr="2255FCAF">
        <w:rPr>
          <w:rFonts w:ascii="Verdana" w:eastAsia="Calibri" w:hAnsi="Verdana" w:cs="Times New Roman"/>
          <w:sz w:val="24"/>
          <w:szCs w:val="24"/>
        </w:rPr>
        <w:t xml:space="preserve"> March 2022 starting at 2.00pm</w:t>
      </w:r>
    </w:p>
    <w:p w14:paraId="710A7879" w14:textId="7CC229A1" w:rsidR="003A34FB" w:rsidRPr="000671DC" w:rsidRDefault="000671DC" w:rsidP="00395A4A">
      <w:pPr>
        <w:spacing w:after="200" w:line="276" w:lineRule="auto"/>
        <w:jc w:val="center"/>
        <w:rPr>
          <w:rFonts w:ascii="Verdana" w:eastAsia="Calibri" w:hAnsi="Verdana" w:cs="Times New Roman"/>
          <w:b/>
          <w:sz w:val="24"/>
          <w:szCs w:val="24"/>
        </w:rPr>
      </w:pPr>
      <w:r w:rsidRPr="000671DC">
        <w:rPr>
          <w:rFonts w:ascii="Verdana" w:eastAsia="Calibri" w:hAnsi="Verdana" w:cs="Times New Roman"/>
          <w:b/>
          <w:sz w:val="24"/>
          <w:szCs w:val="24"/>
        </w:rPr>
        <w:t>Agenda</w:t>
      </w:r>
    </w:p>
    <w:tbl>
      <w:tblPr>
        <w:tblStyle w:val="TableGrid"/>
        <w:tblW w:w="0" w:type="auto"/>
        <w:tblLook w:val="04A0" w:firstRow="1" w:lastRow="0" w:firstColumn="1" w:lastColumn="0" w:noHBand="0" w:noVBand="1"/>
      </w:tblPr>
      <w:tblGrid>
        <w:gridCol w:w="9016"/>
      </w:tblGrid>
      <w:tr w:rsidR="000671DC" w:rsidRPr="000671DC" w14:paraId="37D40D57" w14:textId="77777777" w:rsidTr="0106BB95">
        <w:tc>
          <w:tcPr>
            <w:tcW w:w="9016" w:type="dxa"/>
          </w:tcPr>
          <w:p w14:paraId="7913F88F" w14:textId="77777777" w:rsidR="000671DC" w:rsidRPr="000671DC" w:rsidRDefault="000671DC" w:rsidP="0106BB95">
            <w:pPr>
              <w:rPr>
                <w:rFonts w:eastAsia="Calibri" w:cs="Times New Roman"/>
                <w:sz w:val="24"/>
                <w:szCs w:val="24"/>
              </w:rPr>
            </w:pPr>
            <w:r w:rsidRPr="0106BB95">
              <w:rPr>
                <w:rFonts w:eastAsia="Calibri" w:cs="Times New Roman"/>
                <w:sz w:val="24"/>
                <w:szCs w:val="24"/>
              </w:rPr>
              <w:t>Please Note:</w:t>
            </w:r>
          </w:p>
          <w:p w14:paraId="0E336E41" w14:textId="77777777" w:rsidR="000671DC" w:rsidRPr="000671DC" w:rsidRDefault="000671DC" w:rsidP="0106BB95">
            <w:pPr>
              <w:rPr>
                <w:rFonts w:eastAsia="Calibri" w:cs="Times New Roman"/>
                <w:sz w:val="24"/>
                <w:szCs w:val="24"/>
              </w:rPr>
            </w:pPr>
          </w:p>
          <w:p w14:paraId="66196118" w14:textId="77777777" w:rsidR="000671DC" w:rsidRPr="000671DC" w:rsidRDefault="000671DC" w:rsidP="0106BB95">
            <w:pPr>
              <w:numPr>
                <w:ilvl w:val="0"/>
                <w:numId w:val="2"/>
              </w:numPr>
              <w:contextualSpacing/>
              <w:rPr>
                <w:rFonts w:eastAsia="Calibri" w:cs="Times New Roman"/>
                <w:sz w:val="24"/>
                <w:szCs w:val="24"/>
              </w:rPr>
            </w:pPr>
            <w:r w:rsidRPr="0106BB95">
              <w:rPr>
                <w:rFonts w:eastAsia="Calibri" w:cs="Times New Roman"/>
                <w:sz w:val="24"/>
                <w:szCs w:val="24"/>
              </w:rPr>
              <w:t>All participants are encouraged to familiarise themselves with the Hearing Statements (and any relevant evidence) produced by the Council and other parties in respect of the matters addressed at this session.  These are available on the examination website.</w:t>
            </w:r>
          </w:p>
          <w:p w14:paraId="76AEB95F" w14:textId="77777777" w:rsidR="000671DC" w:rsidRPr="000671DC" w:rsidRDefault="000671DC" w:rsidP="0106BB95">
            <w:pPr>
              <w:ind w:left="360"/>
              <w:contextualSpacing/>
              <w:rPr>
                <w:rFonts w:eastAsia="Calibri" w:cs="Times New Roman"/>
                <w:sz w:val="24"/>
                <w:szCs w:val="24"/>
              </w:rPr>
            </w:pPr>
          </w:p>
          <w:p w14:paraId="280A61AE" w14:textId="71304A4B" w:rsidR="000671DC" w:rsidRPr="000671DC" w:rsidRDefault="66E7440D" w:rsidP="0106BB95">
            <w:pPr>
              <w:numPr>
                <w:ilvl w:val="0"/>
                <w:numId w:val="2"/>
              </w:numPr>
              <w:contextualSpacing/>
              <w:rPr>
                <w:rFonts w:eastAsia="Calibri" w:cs="Times New Roman"/>
                <w:sz w:val="24"/>
                <w:szCs w:val="24"/>
              </w:rPr>
            </w:pPr>
            <w:r w:rsidRPr="0106BB95">
              <w:rPr>
                <w:rFonts w:eastAsia="Calibri" w:cs="Times New Roman"/>
                <w:sz w:val="24"/>
                <w:szCs w:val="24"/>
              </w:rPr>
              <w:t>The</w:t>
            </w:r>
            <w:r w:rsidR="000671DC" w:rsidRPr="0106BB95">
              <w:rPr>
                <w:rFonts w:eastAsia="Calibri" w:cs="Times New Roman"/>
                <w:sz w:val="24"/>
                <w:szCs w:val="24"/>
              </w:rPr>
              <w:t xml:space="preserve"> Matters, Issues and Questions </w:t>
            </w:r>
            <w:r w:rsidRPr="0106BB95">
              <w:rPr>
                <w:rFonts w:eastAsia="Calibri" w:cs="Times New Roman"/>
                <w:sz w:val="24"/>
                <w:szCs w:val="24"/>
              </w:rPr>
              <w:t>are attached for ease of reference.</w:t>
            </w:r>
            <w:r w:rsidR="000671DC" w:rsidRPr="0106BB95">
              <w:rPr>
                <w:rFonts w:eastAsia="Calibri" w:cs="Times New Roman"/>
                <w:sz w:val="24"/>
                <w:szCs w:val="24"/>
              </w:rPr>
              <w:t xml:space="preserve">  The areas for discussion relate to points on which the Inspectors require further information or clarification.</w:t>
            </w:r>
          </w:p>
          <w:p w14:paraId="315226E7" w14:textId="77777777" w:rsidR="000671DC" w:rsidRPr="000671DC" w:rsidRDefault="000671DC" w:rsidP="0106BB95">
            <w:pPr>
              <w:ind w:left="720"/>
              <w:contextualSpacing/>
              <w:rPr>
                <w:rFonts w:eastAsia="Calibri" w:cs="Times New Roman"/>
                <w:sz w:val="24"/>
                <w:szCs w:val="24"/>
              </w:rPr>
            </w:pPr>
          </w:p>
          <w:p w14:paraId="4188CAAC" w14:textId="76221F20" w:rsidR="000671DC" w:rsidRPr="00574F49" w:rsidRDefault="000671DC" w:rsidP="0106BB95">
            <w:pPr>
              <w:numPr>
                <w:ilvl w:val="0"/>
                <w:numId w:val="2"/>
              </w:numPr>
              <w:contextualSpacing/>
              <w:rPr>
                <w:rFonts w:eastAsia="Calibri" w:cs="Times New Roman"/>
                <w:sz w:val="24"/>
                <w:szCs w:val="24"/>
              </w:rPr>
            </w:pPr>
            <w:r w:rsidRPr="0106BB95">
              <w:rPr>
                <w:rFonts w:eastAsia="Calibri" w:cs="Times New Roman"/>
                <w:sz w:val="24"/>
                <w:szCs w:val="24"/>
              </w:rPr>
              <w:t xml:space="preserve">The </w:t>
            </w:r>
            <w:r w:rsidR="00574F49">
              <w:rPr>
                <w:rFonts w:eastAsia="Calibri" w:cs="Times New Roman"/>
                <w:sz w:val="24"/>
                <w:szCs w:val="24"/>
              </w:rPr>
              <w:t>afternoon</w:t>
            </w:r>
            <w:r w:rsidRPr="0106BB95">
              <w:rPr>
                <w:rFonts w:eastAsia="Calibri" w:cs="Times New Roman"/>
                <w:sz w:val="24"/>
                <w:szCs w:val="24"/>
              </w:rPr>
              <w:t xml:space="preserve"> hearing session will finish no later than </w:t>
            </w:r>
            <w:r w:rsidR="00574F49">
              <w:rPr>
                <w:rFonts w:eastAsia="Calibri" w:cs="Times New Roman"/>
                <w:sz w:val="24"/>
                <w:szCs w:val="24"/>
              </w:rPr>
              <w:t>5</w:t>
            </w:r>
            <w:r w:rsidRPr="0106BB95">
              <w:rPr>
                <w:rFonts w:eastAsia="Calibri" w:cs="Times New Roman"/>
                <w:sz w:val="24"/>
                <w:szCs w:val="24"/>
              </w:rPr>
              <w:t>pm, including a mid-</w:t>
            </w:r>
            <w:r w:rsidR="00574F49">
              <w:rPr>
                <w:rFonts w:eastAsia="Calibri" w:cs="Times New Roman"/>
                <w:sz w:val="24"/>
                <w:szCs w:val="24"/>
              </w:rPr>
              <w:t>afternoon</w:t>
            </w:r>
            <w:r w:rsidRPr="0106BB95">
              <w:rPr>
                <w:rFonts w:eastAsia="Calibri" w:cs="Times New Roman"/>
                <w:sz w:val="24"/>
                <w:szCs w:val="24"/>
              </w:rPr>
              <w:t xml:space="preserve"> break.  </w:t>
            </w:r>
          </w:p>
        </w:tc>
      </w:tr>
    </w:tbl>
    <w:p w14:paraId="533C69DF" w14:textId="77777777" w:rsidR="003A34FB" w:rsidRPr="00876149" w:rsidRDefault="003A34FB" w:rsidP="0106BB95">
      <w:pPr>
        <w:spacing w:after="200" w:line="276" w:lineRule="auto"/>
        <w:contextualSpacing/>
        <w:rPr>
          <w:rFonts w:ascii="Verdana" w:eastAsia="Calibri" w:hAnsi="Verdana" w:cs="Times New Roman"/>
          <w:b/>
          <w:bCs/>
          <w:sz w:val="24"/>
          <w:szCs w:val="24"/>
        </w:rPr>
      </w:pPr>
    </w:p>
    <w:p w14:paraId="58FBEB71" w14:textId="5E791068" w:rsidR="007F007D" w:rsidRPr="005B05E4" w:rsidRDefault="007F007D" w:rsidP="0106BB95">
      <w:pPr>
        <w:spacing w:after="200" w:line="276" w:lineRule="auto"/>
        <w:contextualSpacing/>
        <w:rPr>
          <w:rFonts w:ascii="Verdana" w:eastAsia="Calibri" w:hAnsi="Verdana" w:cs="Times New Roman"/>
          <w:b/>
          <w:bCs/>
          <w:sz w:val="24"/>
          <w:szCs w:val="24"/>
          <w:u w:val="single"/>
        </w:rPr>
      </w:pPr>
    </w:p>
    <w:p w14:paraId="525ED0EA" w14:textId="1A817E39" w:rsidR="000671DC" w:rsidRPr="00876149" w:rsidRDefault="11012C1B" w:rsidP="0106BB95">
      <w:pPr>
        <w:numPr>
          <w:ilvl w:val="0"/>
          <w:numId w:val="3"/>
        </w:numPr>
        <w:spacing w:after="200" w:line="276" w:lineRule="auto"/>
        <w:contextualSpacing/>
        <w:rPr>
          <w:rFonts w:ascii="Verdana" w:eastAsia="Calibri" w:hAnsi="Verdana" w:cs="Times New Roman"/>
          <w:b/>
          <w:bCs/>
          <w:sz w:val="24"/>
          <w:szCs w:val="24"/>
        </w:rPr>
      </w:pPr>
      <w:r w:rsidRPr="0106BB95">
        <w:rPr>
          <w:rFonts w:ascii="Verdana" w:eastAsia="Calibri" w:hAnsi="Verdana" w:cs="Times New Roman"/>
          <w:b/>
          <w:bCs/>
          <w:sz w:val="24"/>
          <w:szCs w:val="24"/>
        </w:rPr>
        <w:t>Inspectors’ Welcome and Introductions (5-10 minutes)</w:t>
      </w:r>
    </w:p>
    <w:p w14:paraId="74D402AE" w14:textId="77777777" w:rsidR="000671DC" w:rsidRPr="00876149" w:rsidRDefault="000671DC" w:rsidP="0106BB95">
      <w:pPr>
        <w:spacing w:after="200" w:line="276" w:lineRule="auto"/>
        <w:ind w:left="360"/>
        <w:contextualSpacing/>
        <w:rPr>
          <w:rFonts w:ascii="Verdana" w:eastAsia="Calibri" w:hAnsi="Verdana" w:cs="Times New Roman"/>
          <w:b/>
          <w:bCs/>
          <w:sz w:val="24"/>
          <w:szCs w:val="24"/>
        </w:rPr>
      </w:pPr>
    </w:p>
    <w:p w14:paraId="3C12802D" w14:textId="21A405D8" w:rsidR="5A902492" w:rsidRDefault="5A902492" w:rsidP="0106BB95">
      <w:pPr>
        <w:numPr>
          <w:ilvl w:val="0"/>
          <w:numId w:val="3"/>
        </w:numPr>
        <w:spacing w:after="200" w:line="276" w:lineRule="auto"/>
        <w:contextualSpacing/>
        <w:rPr>
          <w:rFonts w:eastAsiaTheme="minorEastAsia"/>
          <w:b/>
          <w:bCs/>
          <w:sz w:val="24"/>
          <w:szCs w:val="24"/>
        </w:rPr>
      </w:pPr>
      <w:r w:rsidRPr="0106BB95">
        <w:rPr>
          <w:rFonts w:ascii="Verdana" w:eastAsia="Calibri" w:hAnsi="Verdana" w:cs="Times New Roman"/>
          <w:b/>
          <w:bCs/>
          <w:sz w:val="24"/>
          <w:szCs w:val="24"/>
        </w:rPr>
        <w:t>Matter 8: Plan Viability, Deliverability and Monitoring</w:t>
      </w:r>
    </w:p>
    <w:p w14:paraId="2E7BFA72" w14:textId="658283EF" w:rsidR="1FC82C6C" w:rsidRDefault="1FC82C6C" w:rsidP="0106BB95">
      <w:pPr>
        <w:spacing w:after="200" w:line="276" w:lineRule="auto"/>
        <w:contextualSpacing/>
        <w:rPr>
          <w:rFonts w:ascii="Verdana" w:eastAsia="Verdana" w:hAnsi="Verdana" w:cs="Verdana"/>
          <w:b/>
          <w:bCs/>
          <w:sz w:val="24"/>
          <w:szCs w:val="24"/>
        </w:rPr>
      </w:pPr>
    </w:p>
    <w:p w14:paraId="2480FA0C" w14:textId="6787C12C" w:rsidR="3236CC45" w:rsidRDefault="55C22064" w:rsidP="0106BB95">
      <w:pPr>
        <w:spacing w:after="200" w:line="276" w:lineRule="auto"/>
        <w:rPr>
          <w:rFonts w:ascii="Verdana" w:eastAsia="Calibri" w:hAnsi="Verdana" w:cs="Times New Roman"/>
          <w:b/>
          <w:bCs/>
          <w:sz w:val="24"/>
          <w:szCs w:val="24"/>
        </w:rPr>
      </w:pPr>
      <w:r w:rsidRPr="0106BB95">
        <w:rPr>
          <w:rFonts w:ascii="Verdana" w:eastAsia="Calibri" w:hAnsi="Verdana" w:cs="Times New Roman"/>
          <w:b/>
          <w:bCs/>
          <w:sz w:val="24"/>
          <w:szCs w:val="24"/>
          <w:u w:val="single"/>
        </w:rPr>
        <w:t>Key Documents</w:t>
      </w:r>
    </w:p>
    <w:p w14:paraId="5BF2A04D" w14:textId="34D957BA" w:rsidR="2255FCAF" w:rsidRDefault="2255FCAF" w:rsidP="00574F49">
      <w:pPr>
        <w:spacing w:after="0" w:line="240" w:lineRule="auto"/>
        <w:rPr>
          <w:rFonts w:ascii="Verdana" w:eastAsia="Calibri" w:hAnsi="Verdana" w:cs="Times New Roman"/>
          <w:sz w:val="24"/>
          <w:szCs w:val="24"/>
        </w:rPr>
      </w:pPr>
      <w:r w:rsidRPr="0106BB95">
        <w:rPr>
          <w:rFonts w:ascii="Verdana" w:eastAsia="Calibri" w:hAnsi="Verdana" w:cs="Times New Roman"/>
          <w:sz w:val="24"/>
          <w:szCs w:val="24"/>
        </w:rPr>
        <w:t>Whole Plan Viability Study (KD13)</w:t>
      </w:r>
    </w:p>
    <w:p w14:paraId="0E0611F1" w14:textId="6803BAA6" w:rsidR="0106BB95" w:rsidRDefault="0106BB95" w:rsidP="00574F49">
      <w:pPr>
        <w:spacing w:after="0" w:line="240" w:lineRule="auto"/>
        <w:rPr>
          <w:rFonts w:ascii="Verdana" w:eastAsia="Calibri" w:hAnsi="Verdana" w:cs="Times New Roman"/>
          <w:sz w:val="24"/>
          <w:szCs w:val="24"/>
        </w:rPr>
      </w:pPr>
      <w:r w:rsidRPr="0106BB95">
        <w:rPr>
          <w:rFonts w:ascii="Verdana" w:eastAsia="Calibri" w:hAnsi="Verdana" w:cs="Times New Roman"/>
          <w:sz w:val="24"/>
          <w:szCs w:val="24"/>
        </w:rPr>
        <w:t>Authority Monitoring Report</w:t>
      </w:r>
    </w:p>
    <w:p w14:paraId="300A3EF2" w14:textId="2CE27DAC" w:rsidR="1FC82C6C" w:rsidRDefault="1FC82C6C" w:rsidP="1FC82C6C">
      <w:pPr>
        <w:spacing w:after="200" w:line="276" w:lineRule="auto"/>
        <w:contextualSpacing/>
        <w:rPr>
          <w:rFonts w:ascii="Verdana" w:eastAsia="Verdana" w:hAnsi="Verdana" w:cs="Verdana"/>
          <w:b/>
          <w:bCs/>
        </w:rPr>
      </w:pPr>
    </w:p>
    <w:p w14:paraId="6D198A49" w14:textId="6C01491D" w:rsidR="2255FCAF" w:rsidRDefault="2255FCAF" w:rsidP="2255FCAF">
      <w:pPr>
        <w:spacing w:line="240" w:lineRule="auto"/>
        <w:rPr>
          <w:rFonts w:ascii="Verdana" w:eastAsia="Verdana" w:hAnsi="Verdana" w:cs="Verdana"/>
          <w:color w:val="000000" w:themeColor="text1"/>
          <w:sz w:val="24"/>
          <w:szCs w:val="24"/>
        </w:rPr>
      </w:pPr>
      <w:r w:rsidRPr="2255FCAF">
        <w:rPr>
          <w:rFonts w:ascii="Verdana" w:eastAsia="Verdana" w:hAnsi="Verdana" w:cs="Verdana"/>
          <w:b/>
          <w:bCs/>
          <w:color w:val="000000" w:themeColor="text1"/>
          <w:sz w:val="24"/>
          <w:szCs w:val="24"/>
        </w:rPr>
        <w:t>Issue 1 - Whether the Plan is justified, effective, consistent with national policy, and in general conformity with the London Plan in relation to whole plan viability, whether it is deliverable in the Plan period, and whether there are robust arrangements for implementation, monitoring, and review.</w:t>
      </w:r>
    </w:p>
    <w:p w14:paraId="37201D93" w14:textId="1EBEE800" w:rsidR="2255FCAF" w:rsidRDefault="0106BB95" w:rsidP="0106BB95">
      <w:pPr>
        <w:spacing w:line="240" w:lineRule="auto"/>
        <w:rPr>
          <w:rFonts w:ascii="Verdana" w:eastAsia="Verdana" w:hAnsi="Verdana" w:cs="Verdana"/>
          <w:color w:val="000000" w:themeColor="text1"/>
          <w:sz w:val="24"/>
          <w:szCs w:val="24"/>
        </w:rPr>
      </w:pPr>
      <w:r w:rsidRPr="0106BB95">
        <w:rPr>
          <w:rFonts w:ascii="Verdana" w:eastAsia="Verdana" w:hAnsi="Verdana" w:cs="Verdana"/>
          <w:color w:val="000000" w:themeColor="text1"/>
          <w:sz w:val="24"/>
          <w:szCs w:val="24"/>
        </w:rPr>
        <w:t>Note the agenda for this session follows the Matters, Issues and Questions as follows:</w:t>
      </w:r>
    </w:p>
    <w:p w14:paraId="4B57F525" w14:textId="51A4FC26" w:rsidR="0106BB95" w:rsidRDefault="0106BB95" w:rsidP="0106BB95">
      <w:pPr>
        <w:spacing w:line="240" w:lineRule="auto"/>
        <w:ind w:left="907" w:hanging="907"/>
        <w:rPr>
          <w:rFonts w:ascii="Verdana" w:eastAsia="Verdana" w:hAnsi="Verdana" w:cs="Verdana"/>
          <w:color w:val="000000" w:themeColor="text1"/>
          <w:sz w:val="24"/>
          <w:szCs w:val="24"/>
        </w:rPr>
      </w:pPr>
    </w:p>
    <w:p w14:paraId="37096D8E" w14:textId="7E7DCDFB" w:rsidR="2255FCAF" w:rsidRDefault="2255FCAF" w:rsidP="2255FCAF">
      <w:pPr>
        <w:spacing w:line="247" w:lineRule="auto"/>
        <w:ind w:left="907" w:hanging="907"/>
        <w:rPr>
          <w:rFonts w:ascii="Verdana" w:eastAsia="Verdana" w:hAnsi="Verdana" w:cs="Verdana"/>
          <w:color w:val="000000" w:themeColor="text1"/>
          <w:sz w:val="24"/>
          <w:szCs w:val="24"/>
        </w:rPr>
      </w:pPr>
      <w:r w:rsidRPr="3534BCB0">
        <w:rPr>
          <w:rFonts w:ascii="Verdana" w:eastAsia="Verdana" w:hAnsi="Verdana" w:cs="Verdana"/>
          <w:color w:val="000000" w:themeColor="text1"/>
          <w:sz w:val="24"/>
          <w:szCs w:val="24"/>
        </w:rPr>
        <w:t>Q180</w:t>
      </w:r>
      <w:r>
        <w:tab/>
      </w:r>
      <w:r w:rsidRPr="3534BCB0">
        <w:rPr>
          <w:rFonts w:ascii="Verdana" w:eastAsia="Verdana" w:hAnsi="Verdana" w:cs="Verdana"/>
          <w:color w:val="000000" w:themeColor="text1"/>
          <w:sz w:val="24"/>
          <w:szCs w:val="24"/>
        </w:rPr>
        <w:t xml:space="preserve">Do the residential site typologies tested in the Viability Study [KD13] reflect the type of housing sites expected to be delivered over the Plan period, in terms of their size, density, dwelling and tenure mix? </w:t>
      </w:r>
    </w:p>
    <w:p w14:paraId="0C67524D" w14:textId="554793F0" w:rsidR="2255FCAF" w:rsidRDefault="2255FCAF" w:rsidP="2255FCAF">
      <w:pPr>
        <w:spacing w:line="247" w:lineRule="auto"/>
        <w:ind w:left="907" w:hanging="907"/>
        <w:rPr>
          <w:rFonts w:ascii="Verdana" w:eastAsia="Verdana" w:hAnsi="Verdana" w:cs="Verdana"/>
          <w:color w:val="000000" w:themeColor="text1"/>
          <w:sz w:val="24"/>
          <w:szCs w:val="24"/>
        </w:rPr>
      </w:pPr>
      <w:r w:rsidRPr="2255FCAF">
        <w:rPr>
          <w:rFonts w:ascii="Verdana" w:eastAsia="Verdana" w:hAnsi="Verdana" w:cs="Verdana"/>
          <w:color w:val="000000" w:themeColor="text1"/>
          <w:sz w:val="24"/>
          <w:szCs w:val="24"/>
        </w:rPr>
        <w:lastRenderedPageBreak/>
        <w:t xml:space="preserve"> </w:t>
      </w:r>
    </w:p>
    <w:p w14:paraId="0B787036" w14:textId="164EF920" w:rsidR="2255FCAF" w:rsidRDefault="2255FCAF" w:rsidP="3534BCB0">
      <w:pPr>
        <w:spacing w:line="240" w:lineRule="auto"/>
        <w:ind w:left="907" w:hanging="907"/>
        <w:rPr>
          <w:rFonts w:ascii="Verdana" w:eastAsia="Verdana" w:hAnsi="Verdana" w:cs="Verdana"/>
          <w:color w:val="FF0000"/>
          <w:sz w:val="24"/>
          <w:szCs w:val="24"/>
        </w:rPr>
      </w:pPr>
      <w:r w:rsidRPr="3534BCB0">
        <w:rPr>
          <w:rFonts w:ascii="Verdana" w:eastAsia="Verdana" w:hAnsi="Verdana" w:cs="Verdana"/>
          <w:color w:val="000000" w:themeColor="text1"/>
          <w:sz w:val="24"/>
          <w:szCs w:val="24"/>
        </w:rPr>
        <w:t>Q181</w:t>
      </w:r>
      <w:r>
        <w:tab/>
      </w:r>
      <w:r w:rsidRPr="3534BCB0">
        <w:rPr>
          <w:rFonts w:ascii="Verdana" w:eastAsia="Verdana" w:hAnsi="Verdana" w:cs="Verdana"/>
          <w:color w:val="000000" w:themeColor="text1"/>
          <w:sz w:val="24"/>
          <w:szCs w:val="24"/>
        </w:rPr>
        <w:t>The Viability Study [KD13] concludes that taller/denser developments are more likely to be viable in the higher benchmark value areas (paragraph 6.7). What implications, if any, would that have for the delivery of housing in the lower benchmark value areas and for the Plan’s housing delivery strategy overall?</w:t>
      </w:r>
      <w:r w:rsidRPr="3534BCB0">
        <w:rPr>
          <w:rFonts w:ascii="Verdana" w:eastAsia="Verdana" w:hAnsi="Verdana" w:cs="Verdana"/>
          <w:color w:val="FF0000"/>
          <w:sz w:val="24"/>
          <w:szCs w:val="24"/>
        </w:rPr>
        <w:t xml:space="preserve"> </w:t>
      </w:r>
    </w:p>
    <w:p w14:paraId="43E4CC42" w14:textId="4A512424" w:rsidR="2255FCAF" w:rsidRDefault="2255FCAF" w:rsidP="2255FCAF">
      <w:pPr>
        <w:spacing w:line="240" w:lineRule="auto"/>
        <w:ind w:left="907" w:hanging="907"/>
        <w:rPr>
          <w:rFonts w:ascii="Calibri" w:eastAsia="Calibri" w:hAnsi="Calibri" w:cs="Calibri"/>
          <w:color w:val="000000" w:themeColor="text1"/>
          <w:sz w:val="24"/>
          <w:szCs w:val="24"/>
        </w:rPr>
      </w:pPr>
    </w:p>
    <w:p w14:paraId="21E6627C" w14:textId="7DD2596A" w:rsidR="2255FCAF" w:rsidRDefault="2255FCAF" w:rsidP="3534BCB0">
      <w:pPr>
        <w:spacing w:line="247" w:lineRule="auto"/>
        <w:ind w:left="907" w:hanging="907"/>
        <w:rPr>
          <w:rFonts w:ascii="Verdana" w:eastAsia="Verdana" w:hAnsi="Verdana" w:cs="Verdana"/>
          <w:color w:val="000000" w:themeColor="text1"/>
          <w:sz w:val="24"/>
          <w:szCs w:val="24"/>
        </w:rPr>
      </w:pPr>
      <w:r w:rsidRPr="3534BCB0">
        <w:rPr>
          <w:rFonts w:ascii="Verdana" w:eastAsia="Verdana" w:hAnsi="Verdana" w:cs="Verdana"/>
          <w:color w:val="000000" w:themeColor="text1"/>
          <w:sz w:val="24"/>
          <w:szCs w:val="24"/>
        </w:rPr>
        <w:t>Q182</w:t>
      </w:r>
      <w:r>
        <w:tab/>
      </w:r>
      <w:r w:rsidRPr="3534BCB0">
        <w:rPr>
          <w:rFonts w:ascii="Verdana" w:eastAsia="Verdana" w:hAnsi="Verdana" w:cs="Verdana"/>
          <w:color w:val="000000" w:themeColor="text1"/>
          <w:sz w:val="24"/>
          <w:szCs w:val="24"/>
        </w:rPr>
        <w:t>The Viability Study [KD13] concludes that the Borough has a complex range of development scenarios with sites in various existing uses.  Would new development be able to accommodate the Plan’s policy requirements having regard to viability and is this supported by the evidence in the Viability Study?</w:t>
      </w:r>
    </w:p>
    <w:p w14:paraId="3CAF4460" w14:textId="3A2BD444" w:rsidR="3534BCB0" w:rsidRDefault="3534BCB0" w:rsidP="3534BCB0">
      <w:pPr>
        <w:spacing w:line="247" w:lineRule="auto"/>
        <w:ind w:left="907" w:hanging="907"/>
        <w:rPr>
          <w:rFonts w:ascii="Verdana" w:eastAsia="Verdana" w:hAnsi="Verdana" w:cs="Verdana"/>
          <w:color w:val="000000" w:themeColor="text1"/>
          <w:sz w:val="24"/>
          <w:szCs w:val="24"/>
        </w:rPr>
      </w:pPr>
    </w:p>
    <w:p w14:paraId="0BB05FAD" w14:textId="3889ACAC" w:rsidR="2255FCAF" w:rsidRDefault="2255FCAF" w:rsidP="2255FCAF">
      <w:pPr>
        <w:spacing w:line="247" w:lineRule="auto"/>
        <w:ind w:left="907" w:hanging="907"/>
        <w:rPr>
          <w:rFonts w:ascii="Verdana" w:eastAsia="Verdana" w:hAnsi="Verdana" w:cs="Verdana"/>
          <w:color w:val="000000" w:themeColor="text1"/>
          <w:sz w:val="24"/>
          <w:szCs w:val="24"/>
        </w:rPr>
      </w:pPr>
      <w:r w:rsidRPr="3534BCB0">
        <w:rPr>
          <w:rFonts w:ascii="Verdana" w:eastAsia="Verdana" w:hAnsi="Verdana" w:cs="Verdana"/>
          <w:color w:val="000000" w:themeColor="text1"/>
          <w:sz w:val="24"/>
          <w:szCs w:val="24"/>
        </w:rPr>
        <w:t>Q183</w:t>
      </w:r>
      <w:r>
        <w:tab/>
      </w:r>
      <w:r w:rsidRPr="3534BCB0">
        <w:rPr>
          <w:rFonts w:ascii="Verdana" w:eastAsia="Verdana" w:hAnsi="Verdana" w:cs="Verdana"/>
          <w:color w:val="000000" w:themeColor="text1"/>
          <w:sz w:val="24"/>
          <w:szCs w:val="24"/>
        </w:rPr>
        <w:t xml:space="preserve">Can 50% affordable housing be viably delivered on sites in the Borough in industrial use, in general conformity with London Plan Policy H4? </w:t>
      </w:r>
    </w:p>
    <w:p w14:paraId="181E341A" w14:textId="1DBF7E06" w:rsidR="2255FCAF" w:rsidRDefault="2255FCAF" w:rsidP="3534BCB0">
      <w:pPr>
        <w:spacing w:line="247" w:lineRule="auto"/>
        <w:rPr>
          <w:rFonts w:ascii="Calibri" w:eastAsia="Calibri" w:hAnsi="Calibri" w:cs="Calibri"/>
          <w:color w:val="000000" w:themeColor="text1"/>
          <w:sz w:val="24"/>
          <w:szCs w:val="24"/>
        </w:rPr>
      </w:pPr>
    </w:p>
    <w:p w14:paraId="6118BD17" w14:textId="6B5CC1AA" w:rsidR="2255FCAF" w:rsidRDefault="2255FCAF" w:rsidP="3534BCB0">
      <w:pPr>
        <w:spacing w:line="247" w:lineRule="auto"/>
        <w:ind w:left="907" w:hanging="907"/>
        <w:rPr>
          <w:rFonts w:ascii="Verdana" w:eastAsia="Verdana" w:hAnsi="Verdana" w:cs="Verdana"/>
          <w:color w:val="000000" w:themeColor="text1"/>
          <w:sz w:val="24"/>
          <w:szCs w:val="24"/>
        </w:rPr>
      </w:pPr>
      <w:r w:rsidRPr="3534BCB0">
        <w:rPr>
          <w:rFonts w:ascii="Verdana" w:eastAsia="Verdana" w:hAnsi="Verdana" w:cs="Verdana"/>
          <w:color w:val="000000" w:themeColor="text1"/>
          <w:sz w:val="24"/>
          <w:szCs w:val="24"/>
        </w:rPr>
        <w:t>Q184</w:t>
      </w:r>
      <w:r>
        <w:tab/>
      </w:r>
      <w:r w:rsidRPr="3534BCB0">
        <w:rPr>
          <w:rFonts w:ascii="Verdana" w:eastAsia="Verdana" w:hAnsi="Verdana" w:cs="Verdana"/>
          <w:color w:val="000000" w:themeColor="text1"/>
          <w:sz w:val="24"/>
          <w:szCs w:val="24"/>
        </w:rPr>
        <w:t>Will the monitoring indicators and targets in Appendix 5 of the Plan provide a robust basis for assessing Plan outcomes and will the indicators, targets and triggers be effective in measuring the delivery of the Plan’s vision and objectives?</w:t>
      </w:r>
    </w:p>
    <w:p w14:paraId="242F9BD4" w14:textId="629C1947" w:rsidR="2255FCAF" w:rsidRDefault="2255FCAF" w:rsidP="2255FCAF">
      <w:pPr>
        <w:spacing w:line="257" w:lineRule="auto"/>
        <w:ind w:left="907" w:hanging="907"/>
        <w:rPr>
          <w:rFonts w:ascii="Verdana" w:eastAsia="Verdana" w:hAnsi="Verdana" w:cs="Verdana"/>
          <w:color w:val="000000" w:themeColor="text1"/>
          <w:sz w:val="24"/>
          <w:szCs w:val="24"/>
        </w:rPr>
      </w:pPr>
    </w:p>
    <w:p w14:paraId="47824ADB" w14:textId="2F8AA8F2" w:rsidR="2255FCAF" w:rsidRDefault="2255FCAF" w:rsidP="2255FCAF">
      <w:pPr>
        <w:spacing w:line="257" w:lineRule="auto"/>
        <w:ind w:left="907" w:hanging="907"/>
        <w:rPr>
          <w:rFonts w:ascii="Verdana" w:eastAsia="Verdana" w:hAnsi="Verdana" w:cs="Verdana"/>
          <w:color w:val="000000" w:themeColor="text1"/>
          <w:sz w:val="24"/>
          <w:szCs w:val="24"/>
        </w:rPr>
      </w:pPr>
      <w:r w:rsidRPr="3534BCB0">
        <w:rPr>
          <w:rFonts w:ascii="Verdana" w:eastAsia="Verdana" w:hAnsi="Verdana" w:cs="Verdana"/>
          <w:color w:val="000000" w:themeColor="text1"/>
          <w:sz w:val="24"/>
          <w:szCs w:val="24"/>
        </w:rPr>
        <w:t>Q185</w:t>
      </w:r>
      <w:r>
        <w:tab/>
      </w:r>
      <w:r w:rsidRPr="3534BCB0">
        <w:rPr>
          <w:rFonts w:ascii="Verdana" w:eastAsia="Verdana" w:hAnsi="Verdana" w:cs="Verdana"/>
          <w:color w:val="000000" w:themeColor="text1"/>
          <w:sz w:val="24"/>
          <w:szCs w:val="24"/>
        </w:rPr>
        <w:t>Does the Plan have sufficient flexibility to respond to changing circumstances?</w:t>
      </w:r>
    </w:p>
    <w:p w14:paraId="18E76438" w14:textId="3F7CEFE8" w:rsidR="2255FCAF" w:rsidRDefault="2255FCAF" w:rsidP="2255FCAF">
      <w:pPr>
        <w:spacing w:line="257" w:lineRule="auto"/>
        <w:ind w:left="907" w:hanging="907"/>
        <w:rPr>
          <w:rFonts w:ascii="Verdana" w:eastAsia="Verdana" w:hAnsi="Verdana" w:cs="Verdana"/>
          <w:color w:val="000000" w:themeColor="text1"/>
          <w:sz w:val="24"/>
          <w:szCs w:val="24"/>
        </w:rPr>
      </w:pPr>
    </w:p>
    <w:p w14:paraId="366E6DC4" w14:textId="74154071" w:rsidR="2255FCAF" w:rsidRDefault="2255FCAF" w:rsidP="3534BCB0">
      <w:pPr>
        <w:spacing w:line="257" w:lineRule="auto"/>
        <w:ind w:left="907" w:hanging="907"/>
        <w:rPr>
          <w:rFonts w:ascii="Verdana" w:eastAsia="Verdana" w:hAnsi="Verdana" w:cs="Verdana"/>
          <w:color w:val="FF0000"/>
          <w:sz w:val="24"/>
          <w:szCs w:val="24"/>
        </w:rPr>
      </w:pPr>
      <w:r w:rsidRPr="3534BCB0">
        <w:rPr>
          <w:rFonts w:ascii="Verdana" w:eastAsia="Verdana" w:hAnsi="Verdana" w:cs="Verdana"/>
          <w:color w:val="000000" w:themeColor="text1"/>
          <w:sz w:val="24"/>
          <w:szCs w:val="24"/>
        </w:rPr>
        <w:t>Q186</w:t>
      </w:r>
      <w:r>
        <w:tab/>
      </w:r>
      <w:r w:rsidRPr="3534BCB0">
        <w:rPr>
          <w:rFonts w:ascii="Verdana" w:eastAsia="Verdana" w:hAnsi="Verdana" w:cs="Verdana"/>
          <w:color w:val="000000" w:themeColor="text1"/>
          <w:sz w:val="24"/>
          <w:szCs w:val="24"/>
        </w:rPr>
        <w:t xml:space="preserve">Overall, is the Plan viable, deliverable, and are there appropriate arrangements for implementation, monitoring and review? </w:t>
      </w:r>
      <w:r w:rsidRPr="3534BCB0">
        <w:rPr>
          <w:rFonts w:ascii="Verdana" w:eastAsia="Verdana" w:hAnsi="Verdana" w:cs="Verdana"/>
          <w:color w:val="FF0000"/>
          <w:sz w:val="24"/>
          <w:szCs w:val="24"/>
        </w:rPr>
        <w:t xml:space="preserve"> </w:t>
      </w:r>
    </w:p>
    <w:p w14:paraId="66E27F06" w14:textId="19CE423C" w:rsidR="2255FCAF" w:rsidRDefault="2255FCAF" w:rsidP="2255FCAF">
      <w:pPr>
        <w:spacing w:line="257" w:lineRule="auto"/>
        <w:ind w:left="907" w:hanging="907"/>
        <w:rPr>
          <w:rFonts w:ascii="Verdana" w:eastAsia="Verdana" w:hAnsi="Verdana" w:cs="Verdana"/>
          <w:color w:val="000000" w:themeColor="text1"/>
          <w:sz w:val="24"/>
          <w:szCs w:val="24"/>
        </w:rPr>
      </w:pPr>
    </w:p>
    <w:p w14:paraId="44E3E6D1" w14:textId="0D8CBB35" w:rsidR="2255FCAF" w:rsidRDefault="2255FCAF" w:rsidP="3534BCB0">
      <w:pPr>
        <w:spacing w:line="257" w:lineRule="auto"/>
        <w:ind w:left="907" w:hanging="907"/>
        <w:rPr>
          <w:rFonts w:ascii="Verdana" w:eastAsia="Verdana" w:hAnsi="Verdana" w:cs="Verdana"/>
          <w:color w:val="000000" w:themeColor="text1"/>
          <w:sz w:val="24"/>
          <w:szCs w:val="24"/>
        </w:rPr>
      </w:pPr>
      <w:r w:rsidRPr="3534BCB0">
        <w:rPr>
          <w:rFonts w:ascii="Verdana" w:eastAsia="Verdana" w:hAnsi="Verdana" w:cs="Verdana"/>
          <w:color w:val="000000" w:themeColor="text1"/>
          <w:sz w:val="24"/>
          <w:szCs w:val="24"/>
        </w:rPr>
        <w:t>Q187</w:t>
      </w:r>
      <w:r>
        <w:tab/>
      </w:r>
      <w:r w:rsidRPr="3534BCB0">
        <w:rPr>
          <w:rFonts w:ascii="Verdana" w:eastAsia="Verdana" w:hAnsi="Verdana" w:cs="Verdana"/>
          <w:color w:val="000000" w:themeColor="text1"/>
          <w:sz w:val="24"/>
          <w:szCs w:val="24"/>
        </w:rPr>
        <w:t xml:space="preserve">Are any main modifications necessary for soundness?  </w:t>
      </w:r>
    </w:p>
    <w:p w14:paraId="2CA617EC" w14:textId="7B34E3E7" w:rsidR="3534BCB0" w:rsidRDefault="3534BCB0" w:rsidP="3534BCB0">
      <w:pPr>
        <w:spacing w:line="257" w:lineRule="auto"/>
        <w:ind w:left="907" w:hanging="907"/>
        <w:rPr>
          <w:rFonts w:ascii="Verdana" w:eastAsia="Verdana" w:hAnsi="Verdana" w:cs="Verdana"/>
          <w:color w:val="000000" w:themeColor="text1"/>
          <w:sz w:val="24"/>
          <w:szCs w:val="24"/>
        </w:rPr>
      </w:pPr>
    </w:p>
    <w:p w14:paraId="52E3564E" w14:textId="2C053ED2" w:rsidR="3534BCB0" w:rsidRDefault="3534BCB0" w:rsidP="3534BCB0">
      <w:pPr>
        <w:pStyle w:val="ListParagraph"/>
        <w:numPr>
          <w:ilvl w:val="0"/>
          <w:numId w:val="3"/>
        </w:numPr>
        <w:spacing w:line="257" w:lineRule="auto"/>
        <w:rPr>
          <w:rFonts w:ascii="Verdana" w:eastAsia="Verdana" w:hAnsi="Verdana" w:cs="Verdana"/>
          <w:b/>
          <w:bCs/>
          <w:color w:val="000000" w:themeColor="text1"/>
          <w:sz w:val="24"/>
          <w:szCs w:val="24"/>
        </w:rPr>
      </w:pPr>
      <w:r w:rsidRPr="3534BCB0">
        <w:rPr>
          <w:rFonts w:ascii="Verdana" w:eastAsia="Verdana" w:hAnsi="Verdana" w:cs="Verdana"/>
          <w:b/>
          <w:bCs/>
          <w:color w:val="000000" w:themeColor="text1"/>
          <w:sz w:val="24"/>
          <w:szCs w:val="24"/>
        </w:rPr>
        <w:t xml:space="preserve">Close </w:t>
      </w:r>
    </w:p>
    <w:sectPr w:rsidR="3534BCB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3F28" w14:textId="77777777" w:rsidR="004E7FC8" w:rsidRDefault="004E7FC8">
      <w:pPr>
        <w:spacing w:after="0" w:line="240" w:lineRule="auto"/>
      </w:pPr>
      <w:r>
        <w:separator/>
      </w:r>
    </w:p>
  </w:endnote>
  <w:endnote w:type="continuationSeparator" w:id="0">
    <w:p w14:paraId="07B73D72" w14:textId="77777777" w:rsidR="004E7FC8" w:rsidRDefault="004E7FC8">
      <w:pPr>
        <w:spacing w:after="0" w:line="240" w:lineRule="auto"/>
      </w:pPr>
      <w:r>
        <w:continuationSeparator/>
      </w:r>
    </w:p>
  </w:endnote>
  <w:endnote w:type="continuationNotice" w:id="1">
    <w:p w14:paraId="3BC37C0D" w14:textId="77777777" w:rsidR="004E7FC8" w:rsidRDefault="004E7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5F48" w14:textId="77777777" w:rsidR="00834A8D" w:rsidRDefault="00834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519976"/>
      <w:docPartObj>
        <w:docPartGallery w:val="Page Numbers (Bottom of Page)"/>
        <w:docPartUnique/>
      </w:docPartObj>
    </w:sdtPr>
    <w:sdtEndPr>
      <w:rPr>
        <w:noProof/>
      </w:rPr>
    </w:sdtEndPr>
    <w:sdtContent>
      <w:p w14:paraId="23CBCBF7" w14:textId="77777777" w:rsidR="00834A8D" w:rsidRDefault="002A64E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C5C8557" w14:textId="77777777" w:rsidR="00834A8D" w:rsidRDefault="00834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1381" w14:textId="77777777" w:rsidR="00834A8D" w:rsidRDefault="00834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4434" w14:textId="77777777" w:rsidR="004E7FC8" w:rsidRDefault="004E7FC8">
      <w:pPr>
        <w:spacing w:after="0" w:line="240" w:lineRule="auto"/>
      </w:pPr>
      <w:r>
        <w:separator/>
      </w:r>
    </w:p>
  </w:footnote>
  <w:footnote w:type="continuationSeparator" w:id="0">
    <w:p w14:paraId="1D06BAEA" w14:textId="77777777" w:rsidR="004E7FC8" w:rsidRDefault="004E7FC8">
      <w:pPr>
        <w:spacing w:after="0" w:line="240" w:lineRule="auto"/>
      </w:pPr>
      <w:r>
        <w:continuationSeparator/>
      </w:r>
    </w:p>
  </w:footnote>
  <w:footnote w:type="continuationNotice" w:id="1">
    <w:p w14:paraId="1EC62FB3" w14:textId="77777777" w:rsidR="004E7FC8" w:rsidRDefault="004E7F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E67F" w14:textId="77777777" w:rsidR="00834A8D" w:rsidRDefault="00834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B04B" w14:textId="77777777" w:rsidR="00834A8D" w:rsidRDefault="00834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0B66" w14:textId="77777777" w:rsidR="00834A8D" w:rsidRDefault="00834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F96"/>
    <w:multiLevelType w:val="hybridMultilevel"/>
    <w:tmpl w:val="03E4A4EA"/>
    <w:lvl w:ilvl="0" w:tplc="3FF4F1B6">
      <w:start w:val="1"/>
      <w:numFmt w:val="lowerRoman"/>
      <w:lvlText w:val="%1."/>
      <w:lvlJc w:val="right"/>
      <w:pPr>
        <w:ind w:left="720" w:hanging="360"/>
      </w:pPr>
    </w:lvl>
    <w:lvl w:ilvl="1" w:tplc="9DC036EC">
      <w:start w:val="1"/>
      <w:numFmt w:val="lowerLetter"/>
      <w:lvlText w:val="%2."/>
      <w:lvlJc w:val="left"/>
      <w:pPr>
        <w:ind w:left="1440" w:hanging="360"/>
      </w:pPr>
    </w:lvl>
    <w:lvl w:ilvl="2" w:tplc="6A7EBB30">
      <w:start w:val="1"/>
      <w:numFmt w:val="lowerRoman"/>
      <w:lvlText w:val="%3."/>
      <w:lvlJc w:val="right"/>
      <w:pPr>
        <w:ind w:left="2160" w:hanging="180"/>
      </w:pPr>
    </w:lvl>
    <w:lvl w:ilvl="3" w:tplc="CF020338">
      <w:start w:val="1"/>
      <w:numFmt w:val="decimal"/>
      <w:lvlText w:val="%4."/>
      <w:lvlJc w:val="left"/>
      <w:pPr>
        <w:ind w:left="2880" w:hanging="360"/>
      </w:pPr>
    </w:lvl>
    <w:lvl w:ilvl="4" w:tplc="D00E62B8">
      <w:start w:val="1"/>
      <w:numFmt w:val="lowerLetter"/>
      <w:lvlText w:val="%5."/>
      <w:lvlJc w:val="left"/>
      <w:pPr>
        <w:ind w:left="3600" w:hanging="360"/>
      </w:pPr>
    </w:lvl>
    <w:lvl w:ilvl="5" w:tplc="C8EA75DE">
      <w:start w:val="1"/>
      <w:numFmt w:val="lowerRoman"/>
      <w:lvlText w:val="%6."/>
      <w:lvlJc w:val="right"/>
      <w:pPr>
        <w:ind w:left="4320" w:hanging="180"/>
      </w:pPr>
    </w:lvl>
    <w:lvl w:ilvl="6" w:tplc="2CE46B70">
      <w:start w:val="1"/>
      <w:numFmt w:val="decimal"/>
      <w:lvlText w:val="%7."/>
      <w:lvlJc w:val="left"/>
      <w:pPr>
        <w:ind w:left="5040" w:hanging="360"/>
      </w:pPr>
    </w:lvl>
    <w:lvl w:ilvl="7" w:tplc="3FACFB66">
      <w:start w:val="1"/>
      <w:numFmt w:val="lowerLetter"/>
      <w:lvlText w:val="%8."/>
      <w:lvlJc w:val="left"/>
      <w:pPr>
        <w:ind w:left="5760" w:hanging="360"/>
      </w:pPr>
    </w:lvl>
    <w:lvl w:ilvl="8" w:tplc="0D6C5BD2">
      <w:start w:val="1"/>
      <w:numFmt w:val="lowerRoman"/>
      <w:lvlText w:val="%9."/>
      <w:lvlJc w:val="right"/>
      <w:pPr>
        <w:ind w:left="6480" w:hanging="180"/>
      </w:pPr>
    </w:lvl>
  </w:abstractNum>
  <w:abstractNum w:abstractNumId="1" w15:restartNumberingAfterBreak="0">
    <w:nsid w:val="0302057E"/>
    <w:multiLevelType w:val="hybridMultilevel"/>
    <w:tmpl w:val="FFFFFFFF"/>
    <w:lvl w:ilvl="0" w:tplc="BF40794E">
      <w:start w:val="1"/>
      <w:numFmt w:val="lowerRoman"/>
      <w:lvlText w:val="%1."/>
      <w:lvlJc w:val="right"/>
      <w:pPr>
        <w:ind w:left="720" w:hanging="360"/>
      </w:pPr>
    </w:lvl>
    <w:lvl w:ilvl="1" w:tplc="246234A2">
      <w:start w:val="1"/>
      <w:numFmt w:val="lowerLetter"/>
      <w:lvlText w:val="%2."/>
      <w:lvlJc w:val="left"/>
      <w:pPr>
        <w:ind w:left="1440" w:hanging="360"/>
      </w:pPr>
    </w:lvl>
    <w:lvl w:ilvl="2" w:tplc="7780D338">
      <w:start w:val="1"/>
      <w:numFmt w:val="lowerRoman"/>
      <w:lvlText w:val="%3."/>
      <w:lvlJc w:val="right"/>
      <w:pPr>
        <w:ind w:left="2160" w:hanging="180"/>
      </w:pPr>
    </w:lvl>
    <w:lvl w:ilvl="3" w:tplc="BC803286">
      <w:start w:val="1"/>
      <w:numFmt w:val="decimal"/>
      <w:lvlText w:val="%4."/>
      <w:lvlJc w:val="left"/>
      <w:pPr>
        <w:ind w:left="2880" w:hanging="360"/>
      </w:pPr>
    </w:lvl>
    <w:lvl w:ilvl="4" w:tplc="A7A294A2">
      <w:start w:val="1"/>
      <w:numFmt w:val="lowerLetter"/>
      <w:lvlText w:val="%5."/>
      <w:lvlJc w:val="left"/>
      <w:pPr>
        <w:ind w:left="3600" w:hanging="360"/>
      </w:pPr>
    </w:lvl>
    <w:lvl w:ilvl="5" w:tplc="B70CFAEA">
      <w:start w:val="1"/>
      <w:numFmt w:val="lowerRoman"/>
      <w:lvlText w:val="%6."/>
      <w:lvlJc w:val="right"/>
      <w:pPr>
        <w:ind w:left="4320" w:hanging="180"/>
      </w:pPr>
    </w:lvl>
    <w:lvl w:ilvl="6" w:tplc="7A92C068">
      <w:start w:val="1"/>
      <w:numFmt w:val="decimal"/>
      <w:lvlText w:val="%7."/>
      <w:lvlJc w:val="left"/>
      <w:pPr>
        <w:ind w:left="5040" w:hanging="360"/>
      </w:pPr>
    </w:lvl>
    <w:lvl w:ilvl="7" w:tplc="EA7AFC7A">
      <w:start w:val="1"/>
      <w:numFmt w:val="lowerLetter"/>
      <w:lvlText w:val="%8."/>
      <w:lvlJc w:val="left"/>
      <w:pPr>
        <w:ind w:left="5760" w:hanging="360"/>
      </w:pPr>
    </w:lvl>
    <w:lvl w:ilvl="8" w:tplc="84D8D78C">
      <w:start w:val="1"/>
      <w:numFmt w:val="lowerRoman"/>
      <w:lvlText w:val="%9."/>
      <w:lvlJc w:val="right"/>
      <w:pPr>
        <w:ind w:left="6480" w:hanging="180"/>
      </w:pPr>
    </w:lvl>
  </w:abstractNum>
  <w:abstractNum w:abstractNumId="2" w15:restartNumberingAfterBreak="0">
    <w:nsid w:val="06F21B18"/>
    <w:multiLevelType w:val="hybridMultilevel"/>
    <w:tmpl w:val="1668E188"/>
    <w:lvl w:ilvl="0" w:tplc="B6D82A78">
      <w:start w:val="1"/>
      <w:numFmt w:val="lowerRoman"/>
      <w:lvlText w:val="%1."/>
      <w:lvlJc w:val="right"/>
      <w:pPr>
        <w:ind w:left="720" w:hanging="360"/>
      </w:pPr>
    </w:lvl>
    <w:lvl w:ilvl="1" w:tplc="82160420">
      <w:start w:val="1"/>
      <w:numFmt w:val="lowerLetter"/>
      <w:lvlText w:val="%2."/>
      <w:lvlJc w:val="left"/>
      <w:pPr>
        <w:ind w:left="1440" w:hanging="360"/>
      </w:pPr>
    </w:lvl>
    <w:lvl w:ilvl="2" w:tplc="B5B6767E">
      <w:start w:val="1"/>
      <w:numFmt w:val="lowerRoman"/>
      <w:lvlText w:val="%3."/>
      <w:lvlJc w:val="right"/>
      <w:pPr>
        <w:ind w:left="2160" w:hanging="180"/>
      </w:pPr>
    </w:lvl>
    <w:lvl w:ilvl="3" w:tplc="596E6278">
      <w:start w:val="1"/>
      <w:numFmt w:val="decimal"/>
      <w:lvlText w:val="%4."/>
      <w:lvlJc w:val="left"/>
      <w:pPr>
        <w:ind w:left="2880" w:hanging="360"/>
      </w:pPr>
    </w:lvl>
    <w:lvl w:ilvl="4" w:tplc="EE1423BE">
      <w:start w:val="1"/>
      <w:numFmt w:val="lowerLetter"/>
      <w:lvlText w:val="%5."/>
      <w:lvlJc w:val="left"/>
      <w:pPr>
        <w:ind w:left="3600" w:hanging="360"/>
      </w:pPr>
    </w:lvl>
    <w:lvl w:ilvl="5" w:tplc="A376536A">
      <w:start w:val="1"/>
      <w:numFmt w:val="lowerRoman"/>
      <w:lvlText w:val="%6."/>
      <w:lvlJc w:val="right"/>
      <w:pPr>
        <w:ind w:left="4320" w:hanging="180"/>
      </w:pPr>
    </w:lvl>
    <w:lvl w:ilvl="6" w:tplc="922C4A86">
      <w:start w:val="1"/>
      <w:numFmt w:val="decimal"/>
      <w:lvlText w:val="%7."/>
      <w:lvlJc w:val="left"/>
      <w:pPr>
        <w:ind w:left="5040" w:hanging="360"/>
      </w:pPr>
    </w:lvl>
    <w:lvl w:ilvl="7" w:tplc="77301098">
      <w:start w:val="1"/>
      <w:numFmt w:val="lowerLetter"/>
      <w:lvlText w:val="%8."/>
      <w:lvlJc w:val="left"/>
      <w:pPr>
        <w:ind w:left="5760" w:hanging="360"/>
      </w:pPr>
    </w:lvl>
    <w:lvl w:ilvl="8" w:tplc="07721684">
      <w:start w:val="1"/>
      <w:numFmt w:val="lowerRoman"/>
      <w:lvlText w:val="%9."/>
      <w:lvlJc w:val="right"/>
      <w:pPr>
        <w:ind w:left="6480" w:hanging="180"/>
      </w:pPr>
    </w:lvl>
  </w:abstractNum>
  <w:abstractNum w:abstractNumId="3" w15:restartNumberingAfterBreak="0">
    <w:nsid w:val="173F6EDE"/>
    <w:multiLevelType w:val="hybridMultilevel"/>
    <w:tmpl w:val="FC7A88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D1742"/>
    <w:multiLevelType w:val="hybridMultilevel"/>
    <w:tmpl w:val="FFFFFFFF"/>
    <w:lvl w:ilvl="0" w:tplc="CF2A3C7A">
      <w:start w:val="1"/>
      <w:numFmt w:val="lowerRoman"/>
      <w:lvlText w:val="%1."/>
      <w:lvlJc w:val="right"/>
      <w:pPr>
        <w:ind w:left="720" w:hanging="360"/>
      </w:pPr>
    </w:lvl>
    <w:lvl w:ilvl="1" w:tplc="7838A100">
      <w:start w:val="1"/>
      <w:numFmt w:val="lowerLetter"/>
      <w:lvlText w:val="%2."/>
      <w:lvlJc w:val="left"/>
      <w:pPr>
        <w:ind w:left="1440" w:hanging="360"/>
      </w:pPr>
    </w:lvl>
    <w:lvl w:ilvl="2" w:tplc="1A00C3F8">
      <w:start w:val="1"/>
      <w:numFmt w:val="lowerRoman"/>
      <w:lvlText w:val="%3."/>
      <w:lvlJc w:val="right"/>
      <w:pPr>
        <w:ind w:left="2160" w:hanging="180"/>
      </w:pPr>
    </w:lvl>
    <w:lvl w:ilvl="3" w:tplc="B5E495F4">
      <w:start w:val="1"/>
      <w:numFmt w:val="decimal"/>
      <w:lvlText w:val="%4."/>
      <w:lvlJc w:val="left"/>
      <w:pPr>
        <w:ind w:left="2880" w:hanging="360"/>
      </w:pPr>
    </w:lvl>
    <w:lvl w:ilvl="4" w:tplc="37460A00">
      <w:start w:val="1"/>
      <w:numFmt w:val="lowerLetter"/>
      <w:lvlText w:val="%5."/>
      <w:lvlJc w:val="left"/>
      <w:pPr>
        <w:ind w:left="3600" w:hanging="360"/>
      </w:pPr>
    </w:lvl>
    <w:lvl w:ilvl="5" w:tplc="E55C8F5E">
      <w:start w:val="1"/>
      <w:numFmt w:val="lowerRoman"/>
      <w:lvlText w:val="%6."/>
      <w:lvlJc w:val="right"/>
      <w:pPr>
        <w:ind w:left="4320" w:hanging="180"/>
      </w:pPr>
    </w:lvl>
    <w:lvl w:ilvl="6" w:tplc="AFA6FFD8">
      <w:start w:val="1"/>
      <w:numFmt w:val="decimal"/>
      <w:lvlText w:val="%7."/>
      <w:lvlJc w:val="left"/>
      <w:pPr>
        <w:ind w:left="5040" w:hanging="360"/>
      </w:pPr>
    </w:lvl>
    <w:lvl w:ilvl="7" w:tplc="9948EBC0">
      <w:start w:val="1"/>
      <w:numFmt w:val="lowerLetter"/>
      <w:lvlText w:val="%8."/>
      <w:lvlJc w:val="left"/>
      <w:pPr>
        <w:ind w:left="5760" w:hanging="360"/>
      </w:pPr>
    </w:lvl>
    <w:lvl w:ilvl="8" w:tplc="EC24D1F2">
      <w:start w:val="1"/>
      <w:numFmt w:val="lowerRoman"/>
      <w:lvlText w:val="%9."/>
      <w:lvlJc w:val="right"/>
      <w:pPr>
        <w:ind w:left="6480" w:hanging="180"/>
      </w:pPr>
    </w:lvl>
  </w:abstractNum>
  <w:abstractNum w:abstractNumId="5" w15:restartNumberingAfterBreak="0">
    <w:nsid w:val="1F5D6F2E"/>
    <w:multiLevelType w:val="hybridMultilevel"/>
    <w:tmpl w:val="1BCEF968"/>
    <w:lvl w:ilvl="0" w:tplc="138A123E">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71707B"/>
    <w:multiLevelType w:val="hybridMultilevel"/>
    <w:tmpl w:val="55A40766"/>
    <w:lvl w:ilvl="0" w:tplc="2E16812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6BE7FBF"/>
    <w:multiLevelType w:val="hybridMultilevel"/>
    <w:tmpl w:val="32D4442C"/>
    <w:lvl w:ilvl="0" w:tplc="121287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6F12C8"/>
    <w:multiLevelType w:val="hybridMultilevel"/>
    <w:tmpl w:val="401A9FA4"/>
    <w:lvl w:ilvl="0" w:tplc="BA3C4870">
      <w:start w:val="1"/>
      <w:numFmt w:val="lowerRoman"/>
      <w:lvlText w:val="%1."/>
      <w:lvlJc w:val="left"/>
      <w:pPr>
        <w:ind w:left="1440" w:hanging="720"/>
      </w:pPr>
      <w:rPr>
        <w:rFonts w:eastAsia="Calibri"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590141"/>
    <w:multiLevelType w:val="hybridMultilevel"/>
    <w:tmpl w:val="D3481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FC3C6B"/>
    <w:multiLevelType w:val="hybridMultilevel"/>
    <w:tmpl w:val="3AC61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D4024C"/>
    <w:multiLevelType w:val="hybridMultilevel"/>
    <w:tmpl w:val="B0E008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C96BB0"/>
    <w:multiLevelType w:val="hybridMultilevel"/>
    <w:tmpl w:val="44549A46"/>
    <w:lvl w:ilvl="0" w:tplc="E5B4DD32">
      <w:start w:val="1"/>
      <w:numFmt w:val="lowerRoman"/>
      <w:lvlText w:val="%1."/>
      <w:lvlJc w:val="left"/>
      <w:pPr>
        <w:ind w:left="1080" w:hanging="360"/>
      </w:pPr>
      <w:rPr>
        <w:rFonts w:ascii="Verdana" w:eastAsia="Verdana" w:hAnsi="Verdana" w:cs="Verdan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BB06D3F"/>
    <w:multiLevelType w:val="hybridMultilevel"/>
    <w:tmpl w:val="541ADB2C"/>
    <w:lvl w:ilvl="0" w:tplc="5FB29518">
      <w:start w:val="1"/>
      <w:numFmt w:val="lowerRoman"/>
      <w:lvlText w:val="%1."/>
      <w:lvlJc w:val="left"/>
      <w:pPr>
        <w:ind w:left="1627" w:hanging="72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num w:numId="1">
    <w:abstractNumId w:val="2"/>
  </w:num>
  <w:num w:numId="2">
    <w:abstractNumId w:val="10"/>
  </w:num>
  <w:num w:numId="3">
    <w:abstractNumId w:val="11"/>
  </w:num>
  <w:num w:numId="4">
    <w:abstractNumId w:val="9"/>
  </w:num>
  <w:num w:numId="5">
    <w:abstractNumId w:val="12"/>
  </w:num>
  <w:num w:numId="6">
    <w:abstractNumId w:val="6"/>
  </w:num>
  <w:num w:numId="7">
    <w:abstractNumId w:val="7"/>
  </w:num>
  <w:num w:numId="8">
    <w:abstractNumId w:val="8"/>
  </w:num>
  <w:num w:numId="9">
    <w:abstractNumId w:val="13"/>
  </w:num>
  <w:num w:numId="10">
    <w:abstractNumId w:val="3"/>
  </w:num>
  <w:num w:numId="11">
    <w:abstractNumId w:val="5"/>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DC"/>
    <w:rsid w:val="00002A56"/>
    <w:rsid w:val="000136B8"/>
    <w:rsid w:val="0003627D"/>
    <w:rsid w:val="000415E4"/>
    <w:rsid w:val="00060FD4"/>
    <w:rsid w:val="000671DC"/>
    <w:rsid w:val="000935D9"/>
    <w:rsid w:val="00095BA5"/>
    <w:rsid w:val="000C5729"/>
    <w:rsid w:val="000D4738"/>
    <w:rsid w:val="000F7C3B"/>
    <w:rsid w:val="001075E4"/>
    <w:rsid w:val="00127739"/>
    <w:rsid w:val="00150718"/>
    <w:rsid w:val="00153342"/>
    <w:rsid w:val="00166A42"/>
    <w:rsid w:val="001868C5"/>
    <w:rsid w:val="001A136D"/>
    <w:rsid w:val="001A632B"/>
    <w:rsid w:val="001B3FBF"/>
    <w:rsid w:val="001E0791"/>
    <w:rsid w:val="00200484"/>
    <w:rsid w:val="00212995"/>
    <w:rsid w:val="0023215D"/>
    <w:rsid w:val="002608C7"/>
    <w:rsid w:val="00274580"/>
    <w:rsid w:val="00287B50"/>
    <w:rsid w:val="002A64E8"/>
    <w:rsid w:val="002B1873"/>
    <w:rsid w:val="0030402A"/>
    <w:rsid w:val="00312CED"/>
    <w:rsid w:val="003637D3"/>
    <w:rsid w:val="00364BDD"/>
    <w:rsid w:val="003669D4"/>
    <w:rsid w:val="00370C5F"/>
    <w:rsid w:val="003853FC"/>
    <w:rsid w:val="00387550"/>
    <w:rsid w:val="00395A4A"/>
    <w:rsid w:val="003A061A"/>
    <w:rsid w:val="003A1997"/>
    <w:rsid w:val="003A34FB"/>
    <w:rsid w:val="003B6482"/>
    <w:rsid w:val="003C61E6"/>
    <w:rsid w:val="003D47F0"/>
    <w:rsid w:val="003E1AB7"/>
    <w:rsid w:val="00410BD1"/>
    <w:rsid w:val="00414CD0"/>
    <w:rsid w:val="004216A6"/>
    <w:rsid w:val="00427EE6"/>
    <w:rsid w:val="0046224C"/>
    <w:rsid w:val="0047019B"/>
    <w:rsid w:val="004947AF"/>
    <w:rsid w:val="00494C51"/>
    <w:rsid w:val="004A0B46"/>
    <w:rsid w:val="004C06D4"/>
    <w:rsid w:val="004C6B90"/>
    <w:rsid w:val="004E1C52"/>
    <w:rsid w:val="004E7FC8"/>
    <w:rsid w:val="0051101A"/>
    <w:rsid w:val="00513D30"/>
    <w:rsid w:val="00520314"/>
    <w:rsid w:val="00542F48"/>
    <w:rsid w:val="00553F39"/>
    <w:rsid w:val="00574F49"/>
    <w:rsid w:val="005A6CB9"/>
    <w:rsid w:val="005B05E4"/>
    <w:rsid w:val="005B6976"/>
    <w:rsid w:val="005F195A"/>
    <w:rsid w:val="005F5F9F"/>
    <w:rsid w:val="00601582"/>
    <w:rsid w:val="0062570D"/>
    <w:rsid w:val="00650C19"/>
    <w:rsid w:val="00666EDD"/>
    <w:rsid w:val="00671116"/>
    <w:rsid w:val="00672EBE"/>
    <w:rsid w:val="00683CC0"/>
    <w:rsid w:val="006D206F"/>
    <w:rsid w:val="006E10B4"/>
    <w:rsid w:val="006E16B3"/>
    <w:rsid w:val="006E4572"/>
    <w:rsid w:val="006F006F"/>
    <w:rsid w:val="006F4FEC"/>
    <w:rsid w:val="00726FF0"/>
    <w:rsid w:val="00732C57"/>
    <w:rsid w:val="00745ABB"/>
    <w:rsid w:val="00757E60"/>
    <w:rsid w:val="00766397"/>
    <w:rsid w:val="0079100E"/>
    <w:rsid w:val="007B5411"/>
    <w:rsid w:val="007C2BCF"/>
    <w:rsid w:val="007D456A"/>
    <w:rsid w:val="007D60F2"/>
    <w:rsid w:val="007F007D"/>
    <w:rsid w:val="00815554"/>
    <w:rsid w:val="008236A8"/>
    <w:rsid w:val="00834A8D"/>
    <w:rsid w:val="008702FC"/>
    <w:rsid w:val="00871E5F"/>
    <w:rsid w:val="00876149"/>
    <w:rsid w:val="00887ED7"/>
    <w:rsid w:val="00892B62"/>
    <w:rsid w:val="008B7D2D"/>
    <w:rsid w:val="008C4D99"/>
    <w:rsid w:val="008D6610"/>
    <w:rsid w:val="008D6B82"/>
    <w:rsid w:val="00900CF2"/>
    <w:rsid w:val="00936C8A"/>
    <w:rsid w:val="00944A4E"/>
    <w:rsid w:val="00964402"/>
    <w:rsid w:val="009A5996"/>
    <w:rsid w:val="009B40CE"/>
    <w:rsid w:val="009C3F9F"/>
    <w:rsid w:val="009D084A"/>
    <w:rsid w:val="009E3D46"/>
    <w:rsid w:val="009E4FB5"/>
    <w:rsid w:val="009F467C"/>
    <w:rsid w:val="00A06B32"/>
    <w:rsid w:val="00A338DC"/>
    <w:rsid w:val="00A56E44"/>
    <w:rsid w:val="00A6067F"/>
    <w:rsid w:val="00A63998"/>
    <w:rsid w:val="00A66CD4"/>
    <w:rsid w:val="00A73255"/>
    <w:rsid w:val="00A973D7"/>
    <w:rsid w:val="00AD5225"/>
    <w:rsid w:val="00B052C5"/>
    <w:rsid w:val="00B102E4"/>
    <w:rsid w:val="00B1701E"/>
    <w:rsid w:val="00B23BF7"/>
    <w:rsid w:val="00B342A5"/>
    <w:rsid w:val="00B4220D"/>
    <w:rsid w:val="00B70A15"/>
    <w:rsid w:val="00B73FBB"/>
    <w:rsid w:val="00B91EF4"/>
    <w:rsid w:val="00B95844"/>
    <w:rsid w:val="00BA0B3B"/>
    <w:rsid w:val="00BA2E4A"/>
    <w:rsid w:val="00BB30E2"/>
    <w:rsid w:val="00BC1A1E"/>
    <w:rsid w:val="00BC4C2E"/>
    <w:rsid w:val="00BD26AC"/>
    <w:rsid w:val="00BE2852"/>
    <w:rsid w:val="00BE5524"/>
    <w:rsid w:val="00BF6295"/>
    <w:rsid w:val="00BF7B00"/>
    <w:rsid w:val="00C10CE1"/>
    <w:rsid w:val="00C15255"/>
    <w:rsid w:val="00C43BF5"/>
    <w:rsid w:val="00C50466"/>
    <w:rsid w:val="00C8007A"/>
    <w:rsid w:val="00C80B9F"/>
    <w:rsid w:val="00C9536D"/>
    <w:rsid w:val="00CA0D34"/>
    <w:rsid w:val="00CA1508"/>
    <w:rsid w:val="00CA4E75"/>
    <w:rsid w:val="00CA6CAB"/>
    <w:rsid w:val="00CC6F27"/>
    <w:rsid w:val="00CD41FB"/>
    <w:rsid w:val="00CE69E3"/>
    <w:rsid w:val="00D01C9E"/>
    <w:rsid w:val="00D022BD"/>
    <w:rsid w:val="00D052B7"/>
    <w:rsid w:val="00D06904"/>
    <w:rsid w:val="00D64A5C"/>
    <w:rsid w:val="00D97A9D"/>
    <w:rsid w:val="00DA6000"/>
    <w:rsid w:val="00DB24B4"/>
    <w:rsid w:val="00DC0C10"/>
    <w:rsid w:val="00DD48F4"/>
    <w:rsid w:val="00E00D5C"/>
    <w:rsid w:val="00E039DE"/>
    <w:rsid w:val="00E07FCC"/>
    <w:rsid w:val="00E3040A"/>
    <w:rsid w:val="00E47E7E"/>
    <w:rsid w:val="00E54D79"/>
    <w:rsid w:val="00E7317D"/>
    <w:rsid w:val="00E75600"/>
    <w:rsid w:val="00E76631"/>
    <w:rsid w:val="00E85E5E"/>
    <w:rsid w:val="00EA5C94"/>
    <w:rsid w:val="00EE3BDE"/>
    <w:rsid w:val="00EE50E0"/>
    <w:rsid w:val="00EF44EC"/>
    <w:rsid w:val="00F17037"/>
    <w:rsid w:val="00F2056F"/>
    <w:rsid w:val="00F25A1C"/>
    <w:rsid w:val="00F4424B"/>
    <w:rsid w:val="00F65178"/>
    <w:rsid w:val="00F83FF4"/>
    <w:rsid w:val="00F84E7F"/>
    <w:rsid w:val="00FA3F0F"/>
    <w:rsid w:val="00FA562E"/>
    <w:rsid w:val="00FC45AF"/>
    <w:rsid w:val="0106BB95"/>
    <w:rsid w:val="06C211BC"/>
    <w:rsid w:val="090DDD11"/>
    <w:rsid w:val="0C1B1A9F"/>
    <w:rsid w:val="0EBBE8CA"/>
    <w:rsid w:val="11012C1B"/>
    <w:rsid w:val="1388B980"/>
    <w:rsid w:val="16C6FAAF"/>
    <w:rsid w:val="1761C214"/>
    <w:rsid w:val="181035FF"/>
    <w:rsid w:val="18444935"/>
    <w:rsid w:val="192EAFDA"/>
    <w:rsid w:val="1B9A6BD2"/>
    <w:rsid w:val="1C997FE7"/>
    <w:rsid w:val="1FC82C6C"/>
    <w:rsid w:val="2148778B"/>
    <w:rsid w:val="2255FCAF"/>
    <w:rsid w:val="24271CBF"/>
    <w:rsid w:val="24A4AFC7"/>
    <w:rsid w:val="25477B9A"/>
    <w:rsid w:val="280DBCC0"/>
    <w:rsid w:val="289CC636"/>
    <w:rsid w:val="2A9A1777"/>
    <w:rsid w:val="2AC077F7"/>
    <w:rsid w:val="3236CC45"/>
    <w:rsid w:val="32724C98"/>
    <w:rsid w:val="34BDAEAF"/>
    <w:rsid w:val="3534BCB0"/>
    <w:rsid w:val="35E0FE70"/>
    <w:rsid w:val="37FF3266"/>
    <w:rsid w:val="3969AD3A"/>
    <w:rsid w:val="3E450BE3"/>
    <w:rsid w:val="41357231"/>
    <w:rsid w:val="41677916"/>
    <w:rsid w:val="42EA5E83"/>
    <w:rsid w:val="42FF54A9"/>
    <w:rsid w:val="45BDD0C7"/>
    <w:rsid w:val="4CA636EF"/>
    <w:rsid w:val="4D0BAEA5"/>
    <w:rsid w:val="4F2DDCBD"/>
    <w:rsid w:val="4F9B7534"/>
    <w:rsid w:val="5154A605"/>
    <w:rsid w:val="5192D06F"/>
    <w:rsid w:val="53157873"/>
    <w:rsid w:val="544A9636"/>
    <w:rsid w:val="55C22064"/>
    <w:rsid w:val="561FD805"/>
    <w:rsid w:val="56401095"/>
    <w:rsid w:val="5A902492"/>
    <w:rsid w:val="5C144D4B"/>
    <w:rsid w:val="5C79C501"/>
    <w:rsid w:val="5D96F54F"/>
    <w:rsid w:val="646DA639"/>
    <w:rsid w:val="65F0AB41"/>
    <w:rsid w:val="66BA43A6"/>
    <w:rsid w:val="66E7440D"/>
    <w:rsid w:val="68B4A5E9"/>
    <w:rsid w:val="69060EFB"/>
    <w:rsid w:val="6D9EA14E"/>
    <w:rsid w:val="7047FD8F"/>
    <w:rsid w:val="70E4B9DB"/>
    <w:rsid w:val="72A7BFC5"/>
    <w:rsid w:val="74244823"/>
    <w:rsid w:val="7753FB5F"/>
    <w:rsid w:val="78F7B946"/>
    <w:rsid w:val="79268B1F"/>
    <w:rsid w:val="79D21458"/>
    <w:rsid w:val="7DB9B00E"/>
    <w:rsid w:val="7E5247CF"/>
    <w:rsid w:val="7F66FACA"/>
    <w:rsid w:val="7FEE18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AE76"/>
  <w15:chartTrackingRefBased/>
  <w15:docId w15:val="{7A8040DE-6CDF-424B-93A9-6241A31B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1DC"/>
    <w:pPr>
      <w:tabs>
        <w:tab w:val="center" w:pos="4513"/>
        <w:tab w:val="right" w:pos="9026"/>
      </w:tabs>
      <w:spacing w:after="0" w:line="240" w:lineRule="auto"/>
    </w:pPr>
    <w:rPr>
      <w:rFonts w:ascii="Verdana" w:hAnsi="Verdana"/>
    </w:rPr>
  </w:style>
  <w:style w:type="character" w:customStyle="1" w:styleId="HeaderChar">
    <w:name w:val="Header Char"/>
    <w:basedOn w:val="DefaultParagraphFont"/>
    <w:link w:val="Header"/>
    <w:uiPriority w:val="99"/>
    <w:rsid w:val="000671DC"/>
    <w:rPr>
      <w:rFonts w:ascii="Verdana" w:hAnsi="Verdana"/>
    </w:rPr>
  </w:style>
  <w:style w:type="paragraph" w:styleId="Footer">
    <w:name w:val="footer"/>
    <w:basedOn w:val="Normal"/>
    <w:link w:val="FooterChar"/>
    <w:uiPriority w:val="99"/>
    <w:unhideWhenUsed/>
    <w:rsid w:val="000671DC"/>
    <w:pPr>
      <w:tabs>
        <w:tab w:val="center" w:pos="4513"/>
        <w:tab w:val="right" w:pos="9026"/>
      </w:tabs>
      <w:spacing w:after="0" w:line="240" w:lineRule="auto"/>
    </w:pPr>
    <w:rPr>
      <w:rFonts w:ascii="Verdana" w:hAnsi="Verdana"/>
    </w:rPr>
  </w:style>
  <w:style w:type="character" w:customStyle="1" w:styleId="FooterChar">
    <w:name w:val="Footer Char"/>
    <w:basedOn w:val="DefaultParagraphFont"/>
    <w:link w:val="Footer"/>
    <w:uiPriority w:val="99"/>
    <w:rsid w:val="000671DC"/>
    <w:rPr>
      <w:rFonts w:ascii="Verdana" w:hAnsi="Verdana"/>
    </w:rPr>
  </w:style>
  <w:style w:type="table" w:styleId="TableGrid">
    <w:name w:val="Table Grid"/>
    <w:basedOn w:val="TableNormal"/>
    <w:uiPriority w:val="59"/>
    <w:rsid w:val="000671DC"/>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1DC"/>
    <w:pPr>
      <w:ind w:left="720"/>
      <w:contextualSpacing/>
    </w:pPr>
  </w:style>
  <w:style w:type="table" w:customStyle="1" w:styleId="TableGrid1">
    <w:name w:val="Table Grid1"/>
    <w:basedOn w:val="TableNormal"/>
    <w:next w:val="TableGrid"/>
    <w:uiPriority w:val="39"/>
    <w:rsid w:val="004C6B90"/>
    <w:pPr>
      <w:spacing w:after="0" w:line="240" w:lineRule="auto"/>
      <w:ind w:left="907" w:hanging="90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Catherine</dc:creator>
  <cp:keywords/>
  <dc:description/>
  <cp:lastModifiedBy>Sarah Housden</cp:lastModifiedBy>
  <cp:revision>2</cp:revision>
  <dcterms:created xsi:type="dcterms:W3CDTF">2022-03-14T12:23:00Z</dcterms:created>
  <dcterms:modified xsi:type="dcterms:W3CDTF">2022-03-14T12:23:00Z</dcterms:modified>
</cp:coreProperties>
</file>