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E1EE" w14:textId="0B636557" w:rsidR="002E0E61" w:rsidRPr="00B60DB9" w:rsidRDefault="00DA1347" w:rsidP="00681476">
      <w:pPr>
        <w:jc w:val="center"/>
        <w:rPr>
          <w:b/>
          <w:sz w:val="32"/>
          <w:szCs w:val="32"/>
        </w:rPr>
      </w:pPr>
      <w:r w:rsidRPr="117D1CEE">
        <w:rPr>
          <w:b/>
          <w:bCs/>
          <w:sz w:val="32"/>
          <w:szCs w:val="32"/>
        </w:rPr>
        <w:t xml:space="preserve">Waltham Forest Local Plan LP1 </w:t>
      </w:r>
    </w:p>
    <w:p w14:paraId="508E724C" w14:textId="0596496B" w:rsidR="117D1CEE" w:rsidRDefault="117D1CEE" w:rsidP="117D1CEE">
      <w:pPr>
        <w:jc w:val="center"/>
        <w:rPr>
          <w:rFonts w:eastAsia="Verdana" w:cs="Verdana"/>
          <w:color w:val="000000" w:themeColor="text1"/>
          <w:sz w:val="24"/>
          <w:szCs w:val="24"/>
        </w:rPr>
      </w:pPr>
      <w:r w:rsidRPr="117D1CEE">
        <w:rPr>
          <w:rFonts w:eastAsia="Verdana" w:cs="Verdana"/>
          <w:b/>
          <w:bCs/>
          <w:color w:val="000000" w:themeColor="text1"/>
          <w:sz w:val="24"/>
          <w:szCs w:val="24"/>
        </w:rPr>
        <w:t>Examination Hearing Day 4 – Matter 5</w:t>
      </w:r>
    </w:p>
    <w:p w14:paraId="4BE9E1F0" w14:textId="29B86A63" w:rsidR="00DB100C" w:rsidRPr="00B60DB9" w:rsidRDefault="002C3863" w:rsidP="00DB100C">
      <w:pPr>
        <w:jc w:val="center"/>
        <w:rPr>
          <w:sz w:val="24"/>
          <w:szCs w:val="24"/>
        </w:rPr>
      </w:pPr>
      <w:r>
        <w:rPr>
          <w:sz w:val="24"/>
          <w:szCs w:val="24"/>
        </w:rPr>
        <w:t>Tuesday 22</w:t>
      </w:r>
      <w:r w:rsidR="005C7997">
        <w:rPr>
          <w:sz w:val="24"/>
          <w:szCs w:val="24"/>
        </w:rPr>
        <w:t xml:space="preserve"> March</w:t>
      </w:r>
      <w:r w:rsidR="00092CE0">
        <w:rPr>
          <w:sz w:val="24"/>
          <w:szCs w:val="24"/>
        </w:rPr>
        <w:t xml:space="preserve"> 2022</w:t>
      </w:r>
      <w:r w:rsidR="00DB100C" w:rsidRPr="00B60DB9">
        <w:rPr>
          <w:sz w:val="24"/>
          <w:szCs w:val="24"/>
        </w:rPr>
        <w:t xml:space="preserve"> </w:t>
      </w:r>
      <w:r w:rsidR="008E2FEC">
        <w:rPr>
          <w:sz w:val="24"/>
          <w:szCs w:val="24"/>
        </w:rPr>
        <w:t xml:space="preserve">starting </w:t>
      </w:r>
      <w:r w:rsidR="00DB100C" w:rsidRPr="00B60DB9">
        <w:rPr>
          <w:sz w:val="24"/>
          <w:szCs w:val="24"/>
        </w:rPr>
        <w:t xml:space="preserve">at </w:t>
      </w:r>
      <w:r w:rsidR="00B6208C">
        <w:rPr>
          <w:sz w:val="24"/>
          <w:szCs w:val="24"/>
        </w:rPr>
        <w:t>09</w:t>
      </w:r>
      <w:r w:rsidR="005C7997">
        <w:rPr>
          <w:sz w:val="24"/>
          <w:szCs w:val="24"/>
        </w:rPr>
        <w:t>.</w:t>
      </w:r>
      <w:r w:rsidR="00B6208C">
        <w:rPr>
          <w:sz w:val="24"/>
          <w:szCs w:val="24"/>
        </w:rPr>
        <w:t>3</w:t>
      </w:r>
      <w:r w:rsidR="005C7997">
        <w:rPr>
          <w:sz w:val="24"/>
          <w:szCs w:val="24"/>
        </w:rPr>
        <w:t>0</w:t>
      </w:r>
      <w:r w:rsidR="00ED63B6">
        <w:rPr>
          <w:sz w:val="24"/>
          <w:szCs w:val="24"/>
        </w:rPr>
        <w:t>a</w:t>
      </w:r>
      <w:r w:rsidR="008653DB">
        <w:rPr>
          <w:sz w:val="24"/>
          <w:szCs w:val="24"/>
        </w:rPr>
        <w:t>m</w:t>
      </w:r>
    </w:p>
    <w:p w14:paraId="4BE9E1F2" w14:textId="77777777" w:rsidR="00DB100C" w:rsidRPr="00B60DB9" w:rsidRDefault="00DB100C" w:rsidP="00DB100C">
      <w:pPr>
        <w:jc w:val="center"/>
        <w:rPr>
          <w:b/>
          <w:sz w:val="24"/>
          <w:szCs w:val="24"/>
        </w:rPr>
      </w:pPr>
      <w:r w:rsidRPr="00B60DB9">
        <w:rPr>
          <w:b/>
          <w:sz w:val="24"/>
          <w:szCs w:val="24"/>
        </w:rPr>
        <w:t>Agenda</w:t>
      </w:r>
    </w:p>
    <w:tbl>
      <w:tblPr>
        <w:tblStyle w:val="TableGrid"/>
        <w:tblW w:w="0" w:type="auto"/>
        <w:tblLook w:val="04A0" w:firstRow="1" w:lastRow="0" w:firstColumn="1" w:lastColumn="0" w:noHBand="0" w:noVBand="1"/>
      </w:tblPr>
      <w:tblGrid>
        <w:gridCol w:w="9016"/>
      </w:tblGrid>
      <w:tr w:rsidR="00DB100C" w:rsidRPr="00B60DB9" w14:paraId="4BE9E1FD" w14:textId="77777777" w:rsidTr="117D1CEE">
        <w:tc>
          <w:tcPr>
            <w:tcW w:w="9242" w:type="dxa"/>
          </w:tcPr>
          <w:p w14:paraId="4BE9E1F4" w14:textId="0B3F502B" w:rsidR="00DB100C" w:rsidRPr="00B60DB9" w:rsidRDefault="00DB100C" w:rsidP="53F261AC">
            <w:pPr>
              <w:rPr>
                <w:sz w:val="24"/>
                <w:szCs w:val="24"/>
              </w:rPr>
            </w:pPr>
            <w:r w:rsidRPr="117D1CEE">
              <w:rPr>
                <w:sz w:val="24"/>
                <w:szCs w:val="24"/>
              </w:rPr>
              <w:t>Please Note:</w:t>
            </w:r>
          </w:p>
          <w:p w14:paraId="4BE9E1F5" w14:textId="6DCEEBD1" w:rsidR="00DB100C" w:rsidRPr="00B60DB9" w:rsidRDefault="00DB100C" w:rsidP="53F261AC">
            <w:pPr>
              <w:pStyle w:val="ListParagraph"/>
              <w:numPr>
                <w:ilvl w:val="0"/>
                <w:numId w:val="6"/>
              </w:numPr>
              <w:rPr>
                <w:sz w:val="24"/>
                <w:szCs w:val="24"/>
              </w:rPr>
            </w:pPr>
            <w:r w:rsidRPr="53F261AC">
              <w:rPr>
                <w:sz w:val="24"/>
                <w:szCs w:val="24"/>
              </w:rPr>
              <w:t xml:space="preserve">All participants are encouraged to familiarise themselves with the Hearing Statements (and any </w:t>
            </w:r>
            <w:r w:rsidR="101EE9C8" w:rsidRPr="53F261AC">
              <w:rPr>
                <w:sz w:val="24"/>
                <w:szCs w:val="24"/>
              </w:rPr>
              <w:t xml:space="preserve">relevant </w:t>
            </w:r>
            <w:r w:rsidRPr="53F261AC">
              <w:rPr>
                <w:sz w:val="24"/>
                <w:szCs w:val="24"/>
              </w:rPr>
              <w:t xml:space="preserve">evidence) produced by the Council and other parties in respect of the matters addressed at this session. These are available on the </w:t>
            </w:r>
            <w:r w:rsidR="0DE87317" w:rsidRPr="53F261AC">
              <w:rPr>
                <w:sz w:val="24"/>
                <w:szCs w:val="24"/>
              </w:rPr>
              <w:t>e</w:t>
            </w:r>
            <w:r w:rsidRPr="53F261AC">
              <w:rPr>
                <w:sz w:val="24"/>
                <w:szCs w:val="24"/>
              </w:rPr>
              <w:t>xamination website.</w:t>
            </w:r>
          </w:p>
          <w:p w14:paraId="4BE9E1F6" w14:textId="77777777" w:rsidR="00DB100C" w:rsidRPr="00B60DB9" w:rsidRDefault="00DB100C" w:rsidP="53F261AC">
            <w:pPr>
              <w:pStyle w:val="ListParagraph"/>
              <w:ind w:left="360"/>
              <w:rPr>
                <w:sz w:val="24"/>
                <w:szCs w:val="24"/>
              </w:rPr>
            </w:pPr>
          </w:p>
          <w:p w14:paraId="4BE9E1F7" w14:textId="6BF935E8" w:rsidR="00DB100C" w:rsidRPr="00B60DB9" w:rsidRDefault="6CCBEC25" w:rsidP="53F261AC">
            <w:pPr>
              <w:pStyle w:val="ListParagraph"/>
              <w:numPr>
                <w:ilvl w:val="0"/>
                <w:numId w:val="6"/>
              </w:numPr>
              <w:rPr>
                <w:sz w:val="24"/>
                <w:szCs w:val="24"/>
              </w:rPr>
            </w:pPr>
            <w:r w:rsidRPr="53F261AC">
              <w:rPr>
                <w:sz w:val="24"/>
                <w:szCs w:val="24"/>
              </w:rPr>
              <w:t>The Matters, Issues and Questions are attached for ease of reference</w:t>
            </w:r>
            <w:r w:rsidR="37F2F426" w:rsidRPr="53F261AC">
              <w:rPr>
                <w:sz w:val="24"/>
                <w:szCs w:val="24"/>
              </w:rPr>
              <w:t>.</w:t>
            </w:r>
            <w:r w:rsidR="2088FCDF" w:rsidRPr="53F261AC">
              <w:rPr>
                <w:sz w:val="24"/>
                <w:szCs w:val="24"/>
              </w:rPr>
              <w:t xml:space="preserve"> The</w:t>
            </w:r>
            <w:r w:rsidR="7251DDFE" w:rsidRPr="53F261AC">
              <w:rPr>
                <w:sz w:val="24"/>
                <w:szCs w:val="24"/>
              </w:rPr>
              <w:t xml:space="preserve"> areas for discussion</w:t>
            </w:r>
            <w:r w:rsidR="24CEDCC1" w:rsidRPr="53F261AC">
              <w:rPr>
                <w:sz w:val="24"/>
                <w:szCs w:val="24"/>
              </w:rPr>
              <w:t xml:space="preserve"> relate to points </w:t>
            </w:r>
            <w:r w:rsidR="3DFE4671" w:rsidRPr="53F261AC">
              <w:rPr>
                <w:sz w:val="24"/>
                <w:szCs w:val="24"/>
              </w:rPr>
              <w:t xml:space="preserve">on which </w:t>
            </w:r>
            <w:r w:rsidR="24CEDCC1" w:rsidRPr="53F261AC">
              <w:rPr>
                <w:sz w:val="24"/>
                <w:szCs w:val="24"/>
              </w:rPr>
              <w:t xml:space="preserve">the Inspectors require further information </w:t>
            </w:r>
            <w:r w:rsidR="3DFE4671" w:rsidRPr="53F261AC">
              <w:rPr>
                <w:sz w:val="24"/>
                <w:szCs w:val="24"/>
              </w:rPr>
              <w:t>or clarification</w:t>
            </w:r>
            <w:r w:rsidR="24CEDCC1" w:rsidRPr="53F261AC">
              <w:rPr>
                <w:sz w:val="24"/>
                <w:szCs w:val="24"/>
              </w:rPr>
              <w:t>.</w:t>
            </w:r>
          </w:p>
          <w:p w14:paraId="4BE9E1F8" w14:textId="77777777" w:rsidR="00DB100C" w:rsidRPr="00B60DB9" w:rsidRDefault="00DB100C" w:rsidP="53F261AC">
            <w:pPr>
              <w:pStyle w:val="ListParagraph"/>
              <w:rPr>
                <w:sz w:val="24"/>
                <w:szCs w:val="24"/>
              </w:rPr>
            </w:pPr>
          </w:p>
          <w:p w14:paraId="4BE9E1FC" w14:textId="3B260DAC" w:rsidR="00DB100C" w:rsidRPr="00DD1EDA" w:rsidRDefault="00DB100C" w:rsidP="53F261AC">
            <w:pPr>
              <w:pStyle w:val="ListParagraph"/>
              <w:numPr>
                <w:ilvl w:val="0"/>
                <w:numId w:val="6"/>
              </w:numPr>
              <w:rPr>
                <w:sz w:val="24"/>
                <w:szCs w:val="24"/>
              </w:rPr>
            </w:pPr>
            <w:r w:rsidRPr="53F261AC">
              <w:rPr>
                <w:sz w:val="24"/>
                <w:szCs w:val="24"/>
              </w:rPr>
              <w:t xml:space="preserve">The </w:t>
            </w:r>
            <w:r w:rsidR="0DE87317" w:rsidRPr="53F261AC">
              <w:rPr>
                <w:sz w:val="24"/>
                <w:szCs w:val="24"/>
              </w:rPr>
              <w:t>morning h</w:t>
            </w:r>
            <w:r w:rsidRPr="53F261AC">
              <w:rPr>
                <w:sz w:val="24"/>
                <w:szCs w:val="24"/>
              </w:rPr>
              <w:t>earing</w:t>
            </w:r>
            <w:r w:rsidR="4B667707" w:rsidRPr="53F261AC">
              <w:rPr>
                <w:sz w:val="24"/>
                <w:szCs w:val="24"/>
              </w:rPr>
              <w:t xml:space="preserve"> session</w:t>
            </w:r>
            <w:r w:rsidRPr="53F261AC">
              <w:rPr>
                <w:sz w:val="24"/>
                <w:szCs w:val="24"/>
              </w:rPr>
              <w:t xml:space="preserve"> will </w:t>
            </w:r>
            <w:r w:rsidR="00681476" w:rsidRPr="53F261AC">
              <w:rPr>
                <w:sz w:val="24"/>
                <w:szCs w:val="24"/>
              </w:rPr>
              <w:t>finish no later than</w:t>
            </w:r>
            <w:r w:rsidRPr="53F261AC">
              <w:rPr>
                <w:sz w:val="24"/>
                <w:szCs w:val="24"/>
              </w:rPr>
              <w:t xml:space="preserve"> </w:t>
            </w:r>
            <w:r w:rsidR="008E2FEC" w:rsidRPr="53F261AC">
              <w:rPr>
                <w:sz w:val="24"/>
                <w:szCs w:val="24"/>
              </w:rPr>
              <w:t>1pm</w:t>
            </w:r>
            <w:r w:rsidR="510CB30A" w:rsidRPr="53F261AC">
              <w:rPr>
                <w:sz w:val="24"/>
                <w:szCs w:val="24"/>
              </w:rPr>
              <w:t xml:space="preserve">, </w:t>
            </w:r>
            <w:r w:rsidR="008E2FEC" w:rsidRPr="53F261AC">
              <w:rPr>
                <w:sz w:val="24"/>
                <w:szCs w:val="24"/>
              </w:rPr>
              <w:t>including</w:t>
            </w:r>
            <w:r w:rsidR="510CB30A" w:rsidRPr="53F261AC">
              <w:rPr>
                <w:sz w:val="24"/>
                <w:szCs w:val="24"/>
              </w:rPr>
              <w:t xml:space="preserve"> a </w:t>
            </w:r>
            <w:r w:rsidR="40CCD662" w:rsidRPr="53F261AC">
              <w:rPr>
                <w:sz w:val="24"/>
                <w:szCs w:val="24"/>
              </w:rPr>
              <w:t xml:space="preserve">mid-morning </w:t>
            </w:r>
            <w:r w:rsidR="510CB30A" w:rsidRPr="53F261AC">
              <w:rPr>
                <w:sz w:val="24"/>
                <w:szCs w:val="24"/>
              </w:rPr>
              <w:t>break</w:t>
            </w:r>
            <w:r w:rsidRPr="53F261AC">
              <w:rPr>
                <w:sz w:val="24"/>
                <w:szCs w:val="24"/>
              </w:rPr>
              <w:t>.</w:t>
            </w:r>
            <w:r w:rsidR="0DE87317" w:rsidRPr="53F261AC">
              <w:rPr>
                <w:sz w:val="24"/>
                <w:szCs w:val="24"/>
              </w:rPr>
              <w:t xml:space="preserve">  </w:t>
            </w:r>
          </w:p>
        </w:tc>
      </w:tr>
    </w:tbl>
    <w:p w14:paraId="4BE9E1FE" w14:textId="77777777" w:rsidR="00DB100C" w:rsidRPr="00B60DB9" w:rsidRDefault="00DB100C" w:rsidP="53F261AC">
      <w:pPr>
        <w:jc w:val="center"/>
        <w:rPr>
          <w:sz w:val="24"/>
          <w:szCs w:val="24"/>
        </w:rPr>
      </w:pPr>
    </w:p>
    <w:p w14:paraId="4BE9E1FF" w14:textId="23AA0646" w:rsidR="002D2798" w:rsidRPr="006D648D" w:rsidRDefault="002D2798" w:rsidP="1A99FFA4">
      <w:pPr>
        <w:pStyle w:val="ListParagraph"/>
        <w:numPr>
          <w:ilvl w:val="0"/>
          <w:numId w:val="7"/>
        </w:numPr>
        <w:rPr>
          <w:b/>
          <w:bCs/>
          <w:sz w:val="24"/>
          <w:szCs w:val="24"/>
        </w:rPr>
      </w:pPr>
      <w:r w:rsidRPr="53F261AC">
        <w:rPr>
          <w:b/>
          <w:bCs/>
          <w:sz w:val="24"/>
          <w:szCs w:val="24"/>
        </w:rPr>
        <w:t>Inspectors</w:t>
      </w:r>
      <w:r w:rsidR="00A07E79" w:rsidRPr="53F261AC">
        <w:rPr>
          <w:b/>
          <w:bCs/>
          <w:sz w:val="24"/>
          <w:szCs w:val="24"/>
        </w:rPr>
        <w:t>’</w:t>
      </w:r>
      <w:r w:rsidRPr="53F261AC">
        <w:rPr>
          <w:b/>
          <w:bCs/>
          <w:sz w:val="24"/>
          <w:szCs w:val="24"/>
        </w:rPr>
        <w:t xml:space="preserve"> </w:t>
      </w:r>
      <w:r w:rsidR="00884E29" w:rsidRPr="53F261AC">
        <w:rPr>
          <w:b/>
          <w:bCs/>
          <w:sz w:val="24"/>
          <w:szCs w:val="24"/>
        </w:rPr>
        <w:t xml:space="preserve">Welcome and </w:t>
      </w:r>
      <w:r w:rsidR="00B7002F" w:rsidRPr="53F261AC">
        <w:rPr>
          <w:b/>
          <w:bCs/>
          <w:sz w:val="24"/>
          <w:szCs w:val="24"/>
        </w:rPr>
        <w:t>I</w:t>
      </w:r>
      <w:r w:rsidRPr="53F261AC">
        <w:rPr>
          <w:b/>
          <w:bCs/>
          <w:sz w:val="24"/>
          <w:szCs w:val="24"/>
        </w:rPr>
        <w:t>ntroduction</w:t>
      </w:r>
      <w:r w:rsidR="00884E29" w:rsidRPr="53F261AC">
        <w:rPr>
          <w:b/>
          <w:bCs/>
          <w:sz w:val="24"/>
          <w:szCs w:val="24"/>
        </w:rPr>
        <w:t>s</w:t>
      </w:r>
      <w:r w:rsidR="00FC2E46" w:rsidRPr="53F261AC">
        <w:rPr>
          <w:b/>
          <w:bCs/>
          <w:sz w:val="24"/>
          <w:szCs w:val="24"/>
        </w:rPr>
        <w:t xml:space="preserve"> </w:t>
      </w:r>
    </w:p>
    <w:p w14:paraId="4BE9E200" w14:textId="77777777" w:rsidR="002D2798" w:rsidRPr="00B60DB9" w:rsidRDefault="002D2798" w:rsidP="1A99FFA4">
      <w:pPr>
        <w:pStyle w:val="ListParagraph"/>
        <w:ind w:left="360"/>
        <w:rPr>
          <w:b/>
          <w:bCs/>
          <w:sz w:val="24"/>
          <w:szCs w:val="24"/>
        </w:rPr>
      </w:pPr>
    </w:p>
    <w:p w14:paraId="4BE9E203" w14:textId="4CBF6653" w:rsidR="0028087C" w:rsidRPr="00B60DB9" w:rsidRDefault="00AC6D68" w:rsidP="1A99FFA4">
      <w:pPr>
        <w:pStyle w:val="ListParagraph"/>
        <w:numPr>
          <w:ilvl w:val="0"/>
          <w:numId w:val="7"/>
        </w:numPr>
        <w:rPr>
          <w:b/>
          <w:bCs/>
          <w:sz w:val="24"/>
          <w:szCs w:val="24"/>
        </w:rPr>
      </w:pPr>
      <w:r w:rsidRPr="53F261AC">
        <w:rPr>
          <w:b/>
          <w:bCs/>
          <w:sz w:val="24"/>
          <w:szCs w:val="24"/>
        </w:rPr>
        <w:t xml:space="preserve">Matter </w:t>
      </w:r>
      <w:r w:rsidR="003C0FDB" w:rsidRPr="53F261AC">
        <w:rPr>
          <w:b/>
          <w:bCs/>
          <w:sz w:val="24"/>
          <w:szCs w:val="24"/>
        </w:rPr>
        <w:t>4</w:t>
      </w:r>
      <w:r w:rsidR="00681476" w:rsidRPr="53F261AC">
        <w:rPr>
          <w:b/>
          <w:bCs/>
          <w:sz w:val="24"/>
          <w:szCs w:val="24"/>
        </w:rPr>
        <w:t xml:space="preserve">: </w:t>
      </w:r>
      <w:r w:rsidR="00D077B9" w:rsidRPr="53F261AC">
        <w:rPr>
          <w:b/>
          <w:bCs/>
          <w:sz w:val="24"/>
          <w:szCs w:val="24"/>
        </w:rPr>
        <w:t xml:space="preserve">Employment and the Vitality and Viability of Centres </w:t>
      </w:r>
    </w:p>
    <w:p w14:paraId="7EA7D4AC" w14:textId="2192D040" w:rsidR="0F01B021" w:rsidRDefault="0F01B021" w:rsidP="1A99FFA4">
      <w:pPr>
        <w:rPr>
          <w:b/>
          <w:bCs/>
          <w:sz w:val="24"/>
          <w:szCs w:val="24"/>
        </w:rPr>
      </w:pPr>
      <w:r w:rsidRPr="53F261AC">
        <w:rPr>
          <w:b/>
          <w:bCs/>
          <w:sz w:val="24"/>
          <w:szCs w:val="24"/>
        </w:rPr>
        <w:t>Key Documents</w:t>
      </w:r>
    </w:p>
    <w:p w14:paraId="5B418572" w14:textId="57DD842C" w:rsidR="0F01B021" w:rsidRDefault="0F01B021" w:rsidP="53F261AC">
      <w:pPr>
        <w:spacing w:after="0" w:line="240" w:lineRule="auto"/>
        <w:rPr>
          <w:sz w:val="24"/>
          <w:szCs w:val="24"/>
        </w:rPr>
      </w:pPr>
      <w:r w:rsidRPr="53F261AC">
        <w:rPr>
          <w:sz w:val="24"/>
          <w:szCs w:val="24"/>
        </w:rPr>
        <w:t>Employment Land Study (2019) (EB6.1)</w:t>
      </w:r>
    </w:p>
    <w:p w14:paraId="771257A7" w14:textId="52E98088" w:rsidR="0F01B021" w:rsidRDefault="0F01B021" w:rsidP="53F261AC">
      <w:pPr>
        <w:spacing w:after="0" w:line="240" w:lineRule="auto"/>
        <w:rPr>
          <w:b/>
          <w:bCs/>
          <w:sz w:val="24"/>
          <w:szCs w:val="24"/>
        </w:rPr>
      </w:pPr>
      <w:r w:rsidRPr="53F261AC">
        <w:rPr>
          <w:sz w:val="24"/>
          <w:szCs w:val="24"/>
        </w:rPr>
        <w:t>Employment Land Audit (April 2021) (EB6.0)</w:t>
      </w:r>
    </w:p>
    <w:p w14:paraId="4388EEEE" w14:textId="7D607C7D" w:rsidR="73584B8C" w:rsidRDefault="73584B8C" w:rsidP="53F261AC">
      <w:pPr>
        <w:spacing w:after="0" w:line="240" w:lineRule="auto"/>
        <w:rPr>
          <w:sz w:val="24"/>
          <w:szCs w:val="24"/>
        </w:rPr>
      </w:pPr>
      <w:r w:rsidRPr="53F261AC">
        <w:rPr>
          <w:sz w:val="24"/>
          <w:szCs w:val="24"/>
        </w:rPr>
        <w:t>Retail and Town Centres Study (2019) (EB6.1)</w:t>
      </w:r>
    </w:p>
    <w:p w14:paraId="7A83089D" w14:textId="23CA3760" w:rsidR="1C4CFCF7" w:rsidRDefault="1C4CFCF7" w:rsidP="53F261AC">
      <w:pPr>
        <w:spacing w:after="0" w:line="240" w:lineRule="auto"/>
        <w:rPr>
          <w:sz w:val="24"/>
          <w:szCs w:val="24"/>
        </w:rPr>
      </w:pPr>
      <w:r w:rsidRPr="53F261AC">
        <w:rPr>
          <w:sz w:val="24"/>
          <w:szCs w:val="24"/>
        </w:rPr>
        <w:t xml:space="preserve">Schedule of Proposed Modifications (LPE5) </w:t>
      </w:r>
    </w:p>
    <w:p w14:paraId="209FBB1E" w14:textId="0C8F11D3" w:rsidR="0F01B021" w:rsidRDefault="0F01B021" w:rsidP="1A99FFA4">
      <w:pPr>
        <w:rPr>
          <w:b/>
          <w:bCs/>
          <w:sz w:val="24"/>
          <w:szCs w:val="24"/>
        </w:rPr>
      </w:pPr>
    </w:p>
    <w:p w14:paraId="4BE9E218" w14:textId="65C54F26" w:rsidR="00A712F4" w:rsidRPr="00CC49E9" w:rsidRDefault="00E73BBC" w:rsidP="1A99FFA4">
      <w:pPr>
        <w:rPr>
          <w:b/>
          <w:bCs/>
          <w:sz w:val="24"/>
          <w:szCs w:val="24"/>
        </w:rPr>
      </w:pPr>
      <w:r w:rsidRPr="53F261AC">
        <w:rPr>
          <w:b/>
          <w:bCs/>
          <w:sz w:val="24"/>
          <w:szCs w:val="24"/>
        </w:rPr>
        <w:t>Issue</w:t>
      </w:r>
      <w:r w:rsidR="00CC49E9" w:rsidRPr="53F261AC">
        <w:rPr>
          <w:b/>
          <w:bCs/>
          <w:sz w:val="24"/>
          <w:szCs w:val="24"/>
        </w:rPr>
        <w:t xml:space="preserve"> 1</w:t>
      </w:r>
      <w:r w:rsidR="009D4203" w:rsidRPr="53F261AC">
        <w:rPr>
          <w:b/>
          <w:bCs/>
          <w:sz w:val="24"/>
          <w:szCs w:val="24"/>
        </w:rPr>
        <w:t xml:space="preserve"> -</w:t>
      </w:r>
      <w:r w:rsidR="005A2FEA" w:rsidRPr="53F261AC">
        <w:rPr>
          <w:b/>
          <w:bCs/>
          <w:sz w:val="24"/>
          <w:szCs w:val="24"/>
        </w:rPr>
        <w:t xml:space="preserve"> </w:t>
      </w:r>
      <w:r w:rsidR="00CC49E9" w:rsidRPr="53F261AC">
        <w:rPr>
          <w:rFonts w:eastAsia="Calibri" w:cs="Times New Roman"/>
          <w:b/>
          <w:bCs/>
          <w:sz w:val="24"/>
          <w:szCs w:val="24"/>
          <w:lang w:eastAsia="en-GB"/>
        </w:rPr>
        <w:t xml:space="preserve">Whether the </w:t>
      </w:r>
      <w:r w:rsidR="008E5A99" w:rsidRPr="53F261AC">
        <w:rPr>
          <w:rFonts w:eastAsia="Calibri" w:cs="Times New Roman"/>
          <w:b/>
          <w:bCs/>
          <w:sz w:val="24"/>
          <w:szCs w:val="24"/>
          <w:lang w:eastAsia="en-GB"/>
        </w:rPr>
        <w:t>assessment of the need for employment and the employment floorspace requirement is soundly based and whether the Plan sets out a positively prepared strategy for the economy</w:t>
      </w:r>
      <w:r w:rsidR="00D4473F" w:rsidRPr="53F261AC">
        <w:rPr>
          <w:rFonts w:eastAsia="Calibri" w:cs="Times New Roman"/>
          <w:b/>
          <w:bCs/>
          <w:sz w:val="24"/>
          <w:szCs w:val="24"/>
          <w:lang w:eastAsia="en-GB"/>
        </w:rPr>
        <w:t xml:space="preserve"> </w:t>
      </w:r>
    </w:p>
    <w:p w14:paraId="606F9C30" w14:textId="589574D6" w:rsidR="2239804A" w:rsidRDefault="0F01B021" w:rsidP="53F261AC">
      <w:pPr>
        <w:rPr>
          <w:i/>
          <w:iCs/>
          <w:sz w:val="24"/>
          <w:szCs w:val="24"/>
        </w:rPr>
      </w:pPr>
      <w:r w:rsidRPr="53F261AC">
        <w:rPr>
          <w:i/>
          <w:iCs/>
          <w:sz w:val="24"/>
          <w:szCs w:val="24"/>
        </w:rPr>
        <w:t>Key Areas for Discussion:</w:t>
      </w:r>
    </w:p>
    <w:p w14:paraId="4337C280" w14:textId="37CA9E93" w:rsidR="2239804A" w:rsidRDefault="2239804A" w:rsidP="53F261AC">
      <w:pPr>
        <w:pStyle w:val="ListParagraph"/>
        <w:numPr>
          <w:ilvl w:val="0"/>
          <w:numId w:val="2"/>
        </w:numPr>
        <w:spacing w:after="0" w:line="240" w:lineRule="auto"/>
        <w:rPr>
          <w:sz w:val="24"/>
          <w:szCs w:val="24"/>
        </w:rPr>
      </w:pPr>
      <w:r w:rsidRPr="53F261AC">
        <w:rPr>
          <w:sz w:val="24"/>
          <w:szCs w:val="24"/>
        </w:rPr>
        <w:t>The sectors for growth and skills (Questions 78 &amp; 79)</w:t>
      </w:r>
    </w:p>
    <w:p w14:paraId="1634FFEE" w14:textId="00B4CEEC" w:rsidR="53F261AC" w:rsidRDefault="53F261AC" w:rsidP="53F261AC">
      <w:pPr>
        <w:spacing w:after="0" w:line="240" w:lineRule="auto"/>
        <w:rPr>
          <w:sz w:val="24"/>
          <w:szCs w:val="24"/>
        </w:rPr>
      </w:pPr>
    </w:p>
    <w:p w14:paraId="3D564953" w14:textId="681D25A4" w:rsidR="315BA30B" w:rsidRDefault="315BA30B" w:rsidP="53F261AC">
      <w:pPr>
        <w:pStyle w:val="ListParagraph"/>
        <w:numPr>
          <w:ilvl w:val="0"/>
          <w:numId w:val="2"/>
        </w:numPr>
        <w:spacing w:after="0" w:line="240" w:lineRule="auto"/>
        <w:rPr>
          <w:sz w:val="24"/>
          <w:szCs w:val="24"/>
        </w:rPr>
      </w:pPr>
      <w:r w:rsidRPr="53F261AC">
        <w:rPr>
          <w:sz w:val="24"/>
          <w:szCs w:val="24"/>
        </w:rPr>
        <w:t>How the need for employment land has been arrived at – loss to other uses and vacancy rates (Question 80)</w:t>
      </w:r>
    </w:p>
    <w:p w14:paraId="13D56CD0" w14:textId="49A6989B" w:rsidR="53F261AC" w:rsidRDefault="53F261AC" w:rsidP="53F261AC">
      <w:pPr>
        <w:spacing w:after="0" w:line="240" w:lineRule="auto"/>
        <w:rPr>
          <w:sz w:val="24"/>
          <w:szCs w:val="24"/>
        </w:rPr>
      </w:pPr>
    </w:p>
    <w:p w14:paraId="1663E9BA" w14:textId="453457F9" w:rsidR="315BA30B" w:rsidRDefault="315BA30B" w:rsidP="53F261AC">
      <w:pPr>
        <w:pStyle w:val="ListParagraph"/>
        <w:numPr>
          <w:ilvl w:val="0"/>
          <w:numId w:val="2"/>
        </w:numPr>
        <w:spacing w:after="0" w:line="240" w:lineRule="auto"/>
        <w:rPr>
          <w:sz w:val="24"/>
          <w:szCs w:val="24"/>
        </w:rPr>
      </w:pPr>
      <w:r w:rsidRPr="53F261AC">
        <w:rPr>
          <w:sz w:val="24"/>
          <w:szCs w:val="24"/>
        </w:rPr>
        <w:lastRenderedPageBreak/>
        <w:t>Employment land designations and proposed main modifications – Strategic Industrial Land, Locally Significant Industrial Sites and Borough Employment Areas (Question 82)</w:t>
      </w:r>
    </w:p>
    <w:p w14:paraId="4BED3791" w14:textId="1DA5AD71" w:rsidR="53F261AC" w:rsidRDefault="53F261AC" w:rsidP="53F261AC">
      <w:pPr>
        <w:spacing w:after="0" w:line="240" w:lineRule="auto"/>
        <w:rPr>
          <w:sz w:val="24"/>
          <w:szCs w:val="24"/>
        </w:rPr>
      </w:pPr>
    </w:p>
    <w:p w14:paraId="515E9FB4" w14:textId="3D5FA96F" w:rsidR="315BA30B" w:rsidRDefault="1A99FFA4" w:rsidP="53F261AC">
      <w:pPr>
        <w:pStyle w:val="ListParagraph"/>
        <w:numPr>
          <w:ilvl w:val="0"/>
          <w:numId w:val="2"/>
        </w:numPr>
        <w:spacing w:after="0" w:line="240" w:lineRule="auto"/>
        <w:rPr>
          <w:sz w:val="24"/>
          <w:szCs w:val="24"/>
        </w:rPr>
      </w:pPr>
      <w:r w:rsidRPr="53F261AC">
        <w:rPr>
          <w:sz w:val="24"/>
          <w:szCs w:val="24"/>
        </w:rPr>
        <w:t>Provision of land for distribution uses and policy requirements (Questions 81 &amp; 83)</w:t>
      </w:r>
    </w:p>
    <w:p w14:paraId="3672C4B1" w14:textId="38C454DC" w:rsidR="315BA30B" w:rsidRDefault="315BA30B" w:rsidP="00D31A28">
      <w:pPr>
        <w:spacing w:after="0" w:line="240" w:lineRule="auto"/>
        <w:rPr>
          <w:rFonts w:eastAsia="Verdana" w:cs="Verdana"/>
          <w:color w:val="FF0000"/>
          <w:sz w:val="24"/>
          <w:szCs w:val="24"/>
        </w:rPr>
      </w:pPr>
    </w:p>
    <w:p w14:paraId="2CADEF60" w14:textId="5D7A4C34" w:rsidR="0061773B" w:rsidRPr="00D602CF" w:rsidRDefault="00B0015E" w:rsidP="53F261AC">
      <w:pPr>
        <w:rPr>
          <w:b/>
          <w:bCs/>
          <w:sz w:val="24"/>
          <w:szCs w:val="24"/>
        </w:rPr>
      </w:pPr>
      <w:r w:rsidRPr="53F261AC">
        <w:rPr>
          <w:b/>
          <w:bCs/>
          <w:sz w:val="24"/>
          <w:szCs w:val="24"/>
        </w:rPr>
        <w:t xml:space="preserve">Issue 2 - </w:t>
      </w:r>
      <w:r w:rsidRPr="53F261AC">
        <w:rPr>
          <w:rFonts w:eastAsia="Calibri" w:cs="Times New Roman"/>
          <w:b/>
          <w:bCs/>
          <w:sz w:val="24"/>
          <w:szCs w:val="24"/>
          <w:lang w:eastAsia="en-GB"/>
        </w:rPr>
        <w:t xml:space="preserve">Whether the </w:t>
      </w:r>
      <w:r w:rsidR="003F42B7" w:rsidRPr="53F261AC">
        <w:rPr>
          <w:rFonts w:eastAsia="Calibri" w:cs="Times New Roman"/>
          <w:b/>
          <w:bCs/>
          <w:sz w:val="24"/>
          <w:szCs w:val="24"/>
          <w:lang w:eastAsia="en-GB"/>
        </w:rPr>
        <w:t>Plan is positively prepared, justified, effective, consistent with national policy and in general conformity with the Lon</w:t>
      </w:r>
      <w:r w:rsidR="00DF050A" w:rsidRPr="53F261AC">
        <w:rPr>
          <w:rFonts w:eastAsia="Calibri" w:cs="Times New Roman"/>
          <w:b/>
          <w:bCs/>
          <w:sz w:val="24"/>
          <w:szCs w:val="24"/>
          <w:lang w:eastAsia="en-GB"/>
        </w:rPr>
        <w:t>don Plan in relation to other Borough wide policies for the local economy</w:t>
      </w:r>
      <w:r w:rsidR="00D4473F" w:rsidRPr="53F261AC">
        <w:rPr>
          <w:rFonts w:eastAsia="Calibri" w:cs="Times New Roman"/>
          <w:b/>
          <w:bCs/>
          <w:sz w:val="24"/>
          <w:szCs w:val="24"/>
          <w:lang w:eastAsia="en-GB"/>
        </w:rPr>
        <w:t xml:space="preserve"> </w:t>
      </w:r>
    </w:p>
    <w:p w14:paraId="4163FFD3" w14:textId="01A56C54" w:rsidR="00927370" w:rsidRPr="00B60DB9" w:rsidRDefault="00927370" w:rsidP="53F261AC">
      <w:pPr>
        <w:rPr>
          <w:i/>
          <w:iCs/>
          <w:sz w:val="24"/>
          <w:szCs w:val="24"/>
        </w:rPr>
      </w:pPr>
      <w:r w:rsidRPr="53F261AC">
        <w:rPr>
          <w:i/>
          <w:iCs/>
          <w:sz w:val="24"/>
          <w:szCs w:val="24"/>
        </w:rPr>
        <w:t>Key Areas for Discussion:</w:t>
      </w:r>
    </w:p>
    <w:p w14:paraId="1B7103F4" w14:textId="61FF4A2A" w:rsidR="1A99FFA4" w:rsidRDefault="1A99FFA4" w:rsidP="53F261AC">
      <w:pPr>
        <w:pStyle w:val="ListParagraph"/>
        <w:numPr>
          <w:ilvl w:val="0"/>
          <w:numId w:val="2"/>
        </w:numPr>
        <w:spacing w:after="0" w:line="240" w:lineRule="auto"/>
        <w:rPr>
          <w:sz w:val="24"/>
          <w:szCs w:val="24"/>
        </w:rPr>
      </w:pPr>
      <w:r w:rsidRPr="53F261AC">
        <w:rPr>
          <w:sz w:val="24"/>
          <w:szCs w:val="24"/>
        </w:rPr>
        <w:t>Non designated employment land (Question 87)</w:t>
      </w:r>
    </w:p>
    <w:p w14:paraId="547E0DC0" w14:textId="50FE5FDC" w:rsidR="53F261AC" w:rsidRDefault="53F261AC" w:rsidP="53F261AC">
      <w:pPr>
        <w:spacing w:after="0" w:line="240" w:lineRule="auto"/>
        <w:rPr>
          <w:sz w:val="24"/>
          <w:szCs w:val="24"/>
        </w:rPr>
      </w:pPr>
    </w:p>
    <w:p w14:paraId="0276B030" w14:textId="27F334BB" w:rsidR="1A99FFA4" w:rsidRDefault="1A99FFA4" w:rsidP="53F261AC">
      <w:pPr>
        <w:pStyle w:val="ListParagraph"/>
        <w:numPr>
          <w:ilvl w:val="0"/>
          <w:numId w:val="2"/>
        </w:numPr>
        <w:spacing w:after="0" w:line="240" w:lineRule="auto"/>
        <w:rPr>
          <w:sz w:val="24"/>
          <w:szCs w:val="24"/>
        </w:rPr>
      </w:pPr>
      <w:r w:rsidRPr="53F261AC">
        <w:rPr>
          <w:sz w:val="24"/>
          <w:szCs w:val="24"/>
        </w:rPr>
        <w:t>Masterplan approach (Questions 88 &amp; 89)</w:t>
      </w:r>
    </w:p>
    <w:p w14:paraId="06933811" w14:textId="31FE7591" w:rsidR="53F261AC" w:rsidRDefault="53F261AC" w:rsidP="53F261AC">
      <w:pPr>
        <w:spacing w:after="0" w:line="240" w:lineRule="auto"/>
        <w:rPr>
          <w:sz w:val="24"/>
          <w:szCs w:val="24"/>
        </w:rPr>
      </w:pPr>
    </w:p>
    <w:p w14:paraId="711A9253" w14:textId="3F741783" w:rsidR="1A99FFA4" w:rsidRDefault="1A99FFA4" w:rsidP="53F261AC">
      <w:pPr>
        <w:pStyle w:val="ListParagraph"/>
        <w:numPr>
          <w:ilvl w:val="0"/>
          <w:numId w:val="2"/>
        </w:numPr>
        <w:spacing w:after="0" w:line="240" w:lineRule="auto"/>
        <w:rPr>
          <w:sz w:val="24"/>
          <w:szCs w:val="24"/>
        </w:rPr>
      </w:pPr>
      <w:proofErr w:type="spellStart"/>
      <w:r w:rsidRPr="53F261AC">
        <w:rPr>
          <w:sz w:val="24"/>
          <w:szCs w:val="24"/>
        </w:rPr>
        <w:t>Co location</w:t>
      </w:r>
      <w:proofErr w:type="spellEnd"/>
      <w:r w:rsidRPr="53F261AC">
        <w:rPr>
          <w:sz w:val="24"/>
          <w:szCs w:val="24"/>
        </w:rPr>
        <w:t xml:space="preserve"> (Questions 90 &amp; 91)</w:t>
      </w:r>
    </w:p>
    <w:p w14:paraId="26CFA07B" w14:textId="46AB179A" w:rsidR="53F261AC" w:rsidRDefault="53F261AC" w:rsidP="53F261AC">
      <w:pPr>
        <w:spacing w:after="0" w:line="240" w:lineRule="auto"/>
        <w:rPr>
          <w:sz w:val="24"/>
          <w:szCs w:val="24"/>
        </w:rPr>
      </w:pPr>
    </w:p>
    <w:p w14:paraId="514B02CD" w14:textId="750DFC24" w:rsidR="1A99FFA4" w:rsidRDefault="1A99FFA4" w:rsidP="53F261AC">
      <w:pPr>
        <w:pStyle w:val="ListParagraph"/>
        <w:numPr>
          <w:ilvl w:val="0"/>
          <w:numId w:val="2"/>
        </w:numPr>
        <w:spacing w:after="0" w:line="240" w:lineRule="auto"/>
        <w:rPr>
          <w:sz w:val="24"/>
          <w:szCs w:val="24"/>
        </w:rPr>
      </w:pPr>
      <w:r w:rsidRPr="53F261AC">
        <w:rPr>
          <w:sz w:val="24"/>
          <w:szCs w:val="24"/>
        </w:rPr>
        <w:t>Affordable workspace (Question 92)</w:t>
      </w:r>
    </w:p>
    <w:p w14:paraId="28A7626C" w14:textId="266B7E55" w:rsidR="53F261AC" w:rsidRDefault="53F261AC" w:rsidP="53F261AC">
      <w:pPr>
        <w:spacing w:after="0" w:line="240" w:lineRule="auto"/>
        <w:rPr>
          <w:sz w:val="24"/>
          <w:szCs w:val="24"/>
        </w:rPr>
      </w:pPr>
    </w:p>
    <w:p w14:paraId="09F0F7D9" w14:textId="25B47ADB" w:rsidR="1A99FFA4" w:rsidRDefault="1A99FFA4" w:rsidP="53F261AC">
      <w:pPr>
        <w:pStyle w:val="ListParagraph"/>
        <w:numPr>
          <w:ilvl w:val="0"/>
          <w:numId w:val="2"/>
        </w:numPr>
        <w:spacing w:after="0" w:line="240" w:lineRule="auto"/>
        <w:rPr>
          <w:sz w:val="24"/>
          <w:szCs w:val="24"/>
        </w:rPr>
      </w:pPr>
      <w:r w:rsidRPr="53F261AC">
        <w:rPr>
          <w:sz w:val="24"/>
          <w:szCs w:val="24"/>
        </w:rPr>
        <w:t>Railway arches (Question 93)</w:t>
      </w:r>
    </w:p>
    <w:p w14:paraId="0CFD6234" w14:textId="708F0F2E" w:rsidR="53F261AC" w:rsidRDefault="53F261AC" w:rsidP="53F261AC">
      <w:pPr>
        <w:spacing w:after="0" w:line="240" w:lineRule="auto"/>
        <w:rPr>
          <w:sz w:val="24"/>
          <w:szCs w:val="24"/>
        </w:rPr>
      </w:pPr>
    </w:p>
    <w:p w14:paraId="48B761A2" w14:textId="0B5F7535" w:rsidR="1A99FFA4" w:rsidRDefault="1A99FFA4" w:rsidP="53F261AC">
      <w:pPr>
        <w:pStyle w:val="ListParagraph"/>
        <w:numPr>
          <w:ilvl w:val="0"/>
          <w:numId w:val="2"/>
        </w:numPr>
        <w:spacing w:after="0" w:line="240" w:lineRule="auto"/>
        <w:rPr>
          <w:sz w:val="24"/>
          <w:szCs w:val="24"/>
        </w:rPr>
      </w:pPr>
      <w:r w:rsidRPr="53F261AC">
        <w:rPr>
          <w:sz w:val="24"/>
          <w:szCs w:val="24"/>
        </w:rPr>
        <w:t>Blackhorse Lane Creative Enterprise Zone (Question 94)</w:t>
      </w:r>
    </w:p>
    <w:p w14:paraId="065C1DBC" w14:textId="58172448" w:rsidR="53F261AC" w:rsidRDefault="53F261AC" w:rsidP="53F261AC">
      <w:pPr>
        <w:spacing w:after="0" w:line="240" w:lineRule="auto"/>
        <w:rPr>
          <w:sz w:val="24"/>
          <w:szCs w:val="24"/>
        </w:rPr>
      </w:pPr>
    </w:p>
    <w:p w14:paraId="512CCD5C" w14:textId="14E222FD" w:rsidR="53F261AC" w:rsidRDefault="1A99FFA4" w:rsidP="53F261AC">
      <w:pPr>
        <w:pStyle w:val="ListParagraph"/>
        <w:numPr>
          <w:ilvl w:val="0"/>
          <w:numId w:val="2"/>
        </w:numPr>
        <w:spacing w:after="0" w:line="240" w:lineRule="auto"/>
        <w:rPr>
          <w:sz w:val="24"/>
          <w:szCs w:val="24"/>
        </w:rPr>
      </w:pPr>
      <w:r w:rsidRPr="53F261AC">
        <w:rPr>
          <w:sz w:val="24"/>
          <w:szCs w:val="24"/>
        </w:rPr>
        <w:t>Overall approach to the economy and main modifications</w:t>
      </w:r>
    </w:p>
    <w:p w14:paraId="5706F775" w14:textId="77777777" w:rsidR="00D31A28" w:rsidRPr="00D31A28" w:rsidRDefault="00D31A28" w:rsidP="00D31A28">
      <w:pPr>
        <w:spacing w:after="0" w:line="240" w:lineRule="auto"/>
        <w:rPr>
          <w:sz w:val="24"/>
          <w:szCs w:val="24"/>
        </w:rPr>
      </w:pPr>
    </w:p>
    <w:p w14:paraId="4332859A" w14:textId="28F0149B" w:rsidR="0017129E" w:rsidRDefault="0017129E" w:rsidP="53F261AC">
      <w:pPr>
        <w:rPr>
          <w:rFonts w:eastAsia="Calibri" w:cs="Times New Roman"/>
          <w:b/>
          <w:bCs/>
          <w:sz w:val="24"/>
          <w:szCs w:val="24"/>
          <w:lang w:eastAsia="en-GB"/>
        </w:rPr>
      </w:pPr>
      <w:r w:rsidRPr="53F261AC">
        <w:rPr>
          <w:b/>
          <w:bCs/>
          <w:sz w:val="24"/>
          <w:szCs w:val="24"/>
        </w:rPr>
        <w:t xml:space="preserve">Issue 3 - </w:t>
      </w:r>
      <w:r w:rsidRPr="53F261AC">
        <w:rPr>
          <w:rFonts w:eastAsia="Calibri" w:cs="Times New Roman"/>
          <w:b/>
          <w:bCs/>
          <w:sz w:val="24"/>
          <w:szCs w:val="24"/>
          <w:lang w:eastAsia="en-GB"/>
        </w:rPr>
        <w:t xml:space="preserve">Whether the </w:t>
      </w:r>
      <w:r w:rsidR="00DF050A" w:rsidRPr="53F261AC">
        <w:rPr>
          <w:rFonts w:eastAsia="Calibri" w:cs="Times New Roman"/>
          <w:b/>
          <w:bCs/>
          <w:sz w:val="24"/>
          <w:szCs w:val="24"/>
          <w:lang w:eastAsia="en-GB"/>
        </w:rPr>
        <w:t xml:space="preserve">Plan will contribute to the vitality and viability of Walthamstow town centre, the District Centres, Neighbourhood </w:t>
      </w:r>
      <w:proofErr w:type="gramStart"/>
      <w:r w:rsidR="00DF050A" w:rsidRPr="53F261AC">
        <w:rPr>
          <w:rFonts w:eastAsia="Calibri" w:cs="Times New Roman"/>
          <w:b/>
          <w:bCs/>
          <w:sz w:val="24"/>
          <w:szCs w:val="24"/>
          <w:lang w:eastAsia="en-GB"/>
        </w:rPr>
        <w:t>Centres</w:t>
      </w:r>
      <w:proofErr w:type="gramEnd"/>
      <w:r w:rsidR="00DF050A" w:rsidRPr="53F261AC">
        <w:rPr>
          <w:rFonts w:eastAsia="Calibri" w:cs="Times New Roman"/>
          <w:b/>
          <w:bCs/>
          <w:sz w:val="24"/>
          <w:szCs w:val="24"/>
          <w:lang w:eastAsia="en-GB"/>
        </w:rPr>
        <w:t xml:space="preserve"> and the Local Retail Parades</w:t>
      </w:r>
      <w:r w:rsidR="00D4473F" w:rsidRPr="53F261AC">
        <w:rPr>
          <w:rFonts w:eastAsia="Calibri" w:cs="Times New Roman"/>
          <w:b/>
          <w:bCs/>
          <w:sz w:val="24"/>
          <w:szCs w:val="24"/>
          <w:lang w:eastAsia="en-GB"/>
        </w:rPr>
        <w:t xml:space="preserve"> </w:t>
      </w:r>
    </w:p>
    <w:p w14:paraId="7203DE40" w14:textId="70BF0BD0" w:rsidR="00BF3C91" w:rsidRPr="00B60DB9" w:rsidRDefault="00BF3C91" w:rsidP="53F261AC">
      <w:pPr>
        <w:rPr>
          <w:i/>
          <w:iCs/>
          <w:sz w:val="24"/>
          <w:szCs w:val="24"/>
        </w:rPr>
      </w:pPr>
      <w:r w:rsidRPr="53F261AC">
        <w:rPr>
          <w:i/>
          <w:iCs/>
          <w:sz w:val="24"/>
          <w:szCs w:val="24"/>
        </w:rPr>
        <w:t>Key Areas for Discussion:</w:t>
      </w:r>
    </w:p>
    <w:p w14:paraId="6D277253" w14:textId="5762EC8F" w:rsidR="1A99FFA4" w:rsidRDefault="1A99FFA4" w:rsidP="53F261AC">
      <w:pPr>
        <w:pStyle w:val="ListParagraph"/>
        <w:numPr>
          <w:ilvl w:val="0"/>
          <w:numId w:val="1"/>
        </w:numPr>
        <w:spacing w:after="0" w:line="240" w:lineRule="auto"/>
        <w:rPr>
          <w:sz w:val="24"/>
          <w:szCs w:val="24"/>
        </w:rPr>
      </w:pPr>
      <w:r w:rsidRPr="53F261AC">
        <w:rPr>
          <w:sz w:val="24"/>
          <w:szCs w:val="24"/>
        </w:rPr>
        <w:t>Designation of centres (Questions 97 &amp; 98)</w:t>
      </w:r>
    </w:p>
    <w:p w14:paraId="70771456" w14:textId="1A6F3F36" w:rsidR="53F261AC" w:rsidRDefault="53F261AC" w:rsidP="53F261AC">
      <w:pPr>
        <w:spacing w:after="0" w:line="240" w:lineRule="auto"/>
        <w:rPr>
          <w:sz w:val="24"/>
          <w:szCs w:val="24"/>
        </w:rPr>
      </w:pPr>
    </w:p>
    <w:p w14:paraId="64A0A347" w14:textId="53CB5232" w:rsidR="1A99FFA4" w:rsidRDefault="1A99FFA4" w:rsidP="53F261AC">
      <w:pPr>
        <w:pStyle w:val="ListParagraph"/>
        <w:numPr>
          <w:ilvl w:val="0"/>
          <w:numId w:val="1"/>
        </w:numPr>
        <w:spacing w:after="0" w:line="240" w:lineRule="auto"/>
        <w:rPr>
          <w:sz w:val="24"/>
          <w:szCs w:val="24"/>
        </w:rPr>
      </w:pPr>
      <w:r w:rsidRPr="53F261AC">
        <w:rPr>
          <w:sz w:val="24"/>
          <w:szCs w:val="24"/>
        </w:rPr>
        <w:t>Threshold for impact assessments (Question 99)</w:t>
      </w:r>
    </w:p>
    <w:p w14:paraId="58286D90" w14:textId="68469274" w:rsidR="53F261AC" w:rsidRDefault="53F261AC" w:rsidP="53F261AC">
      <w:pPr>
        <w:spacing w:after="0" w:line="240" w:lineRule="auto"/>
        <w:rPr>
          <w:sz w:val="24"/>
          <w:szCs w:val="24"/>
        </w:rPr>
      </w:pPr>
    </w:p>
    <w:p w14:paraId="0635183C" w14:textId="2EF2DB10" w:rsidR="1A99FFA4" w:rsidRDefault="1A99FFA4" w:rsidP="53F261AC">
      <w:pPr>
        <w:pStyle w:val="ListParagraph"/>
        <w:numPr>
          <w:ilvl w:val="0"/>
          <w:numId w:val="1"/>
        </w:numPr>
        <w:spacing w:after="0" w:line="240" w:lineRule="auto"/>
        <w:rPr>
          <w:sz w:val="24"/>
          <w:szCs w:val="24"/>
        </w:rPr>
      </w:pPr>
      <w:r w:rsidRPr="53F261AC">
        <w:rPr>
          <w:sz w:val="24"/>
          <w:szCs w:val="24"/>
        </w:rPr>
        <w:t>The implications of changes to the Use Classes Order and General Permitted Development Order (Question 100)</w:t>
      </w:r>
    </w:p>
    <w:p w14:paraId="34306A04" w14:textId="11DF2C0B" w:rsidR="53F261AC" w:rsidRDefault="53F261AC" w:rsidP="53F261AC">
      <w:pPr>
        <w:spacing w:after="0" w:line="240" w:lineRule="auto"/>
        <w:rPr>
          <w:sz w:val="24"/>
          <w:szCs w:val="24"/>
        </w:rPr>
      </w:pPr>
    </w:p>
    <w:p w14:paraId="019F5F4D" w14:textId="22AF1E5A" w:rsidR="1A99FFA4" w:rsidRDefault="1A99FFA4" w:rsidP="53F261AC">
      <w:pPr>
        <w:pStyle w:val="ListParagraph"/>
        <w:numPr>
          <w:ilvl w:val="0"/>
          <w:numId w:val="1"/>
        </w:numPr>
        <w:spacing w:after="0" w:line="240" w:lineRule="auto"/>
        <w:rPr>
          <w:sz w:val="24"/>
          <w:szCs w:val="24"/>
        </w:rPr>
      </w:pPr>
      <w:r w:rsidRPr="53F261AC">
        <w:rPr>
          <w:sz w:val="24"/>
          <w:szCs w:val="24"/>
        </w:rPr>
        <w:t>Primary Shopping Areas (Question 101)</w:t>
      </w:r>
    </w:p>
    <w:p w14:paraId="4574877C" w14:textId="2B6D047B" w:rsidR="53F261AC" w:rsidRDefault="53F261AC" w:rsidP="53F261AC">
      <w:pPr>
        <w:spacing w:after="0" w:line="240" w:lineRule="auto"/>
        <w:rPr>
          <w:sz w:val="24"/>
          <w:szCs w:val="24"/>
        </w:rPr>
      </w:pPr>
    </w:p>
    <w:p w14:paraId="2045545D" w14:textId="78F617EC" w:rsidR="1A99FFA4" w:rsidRDefault="1A99FFA4" w:rsidP="53F261AC">
      <w:pPr>
        <w:pStyle w:val="ListParagraph"/>
        <w:numPr>
          <w:ilvl w:val="0"/>
          <w:numId w:val="1"/>
        </w:numPr>
        <w:spacing w:after="0" w:line="240" w:lineRule="auto"/>
        <w:rPr>
          <w:sz w:val="24"/>
          <w:szCs w:val="24"/>
        </w:rPr>
      </w:pPr>
      <w:r w:rsidRPr="53F261AC">
        <w:rPr>
          <w:sz w:val="24"/>
          <w:szCs w:val="24"/>
        </w:rPr>
        <w:t xml:space="preserve">Evening and </w:t>
      </w:r>
      <w:proofErr w:type="gramStart"/>
      <w:r w:rsidRPr="53F261AC">
        <w:rPr>
          <w:sz w:val="24"/>
          <w:szCs w:val="24"/>
        </w:rPr>
        <w:t>night time</w:t>
      </w:r>
      <w:proofErr w:type="gramEnd"/>
      <w:r w:rsidRPr="53F261AC">
        <w:rPr>
          <w:sz w:val="24"/>
          <w:szCs w:val="24"/>
        </w:rPr>
        <w:t xml:space="preserve"> economy (Question 102)</w:t>
      </w:r>
    </w:p>
    <w:p w14:paraId="51566E46" w14:textId="5B6459B2" w:rsidR="53F261AC" w:rsidRDefault="53F261AC" w:rsidP="53F261AC">
      <w:pPr>
        <w:spacing w:after="0" w:line="240" w:lineRule="auto"/>
        <w:rPr>
          <w:sz w:val="24"/>
          <w:szCs w:val="24"/>
        </w:rPr>
      </w:pPr>
    </w:p>
    <w:p w14:paraId="071D1C05" w14:textId="6EF9D1D8" w:rsidR="000305BA" w:rsidRDefault="1A99FFA4" w:rsidP="00DD1EDA">
      <w:pPr>
        <w:pStyle w:val="ListParagraph"/>
        <w:numPr>
          <w:ilvl w:val="0"/>
          <w:numId w:val="1"/>
        </w:numPr>
        <w:spacing w:after="0" w:line="240" w:lineRule="auto"/>
        <w:rPr>
          <w:sz w:val="24"/>
          <w:szCs w:val="24"/>
        </w:rPr>
      </w:pPr>
      <w:r w:rsidRPr="53F261AC">
        <w:rPr>
          <w:sz w:val="24"/>
          <w:szCs w:val="24"/>
        </w:rPr>
        <w:t>Overall approach to the vitality and viability of centres and main modifications</w:t>
      </w:r>
    </w:p>
    <w:p w14:paraId="27028983" w14:textId="77777777" w:rsidR="00D31A28" w:rsidRPr="00D31A28" w:rsidRDefault="00D31A28" w:rsidP="00D31A28">
      <w:pPr>
        <w:spacing w:after="0" w:line="240" w:lineRule="auto"/>
        <w:rPr>
          <w:sz w:val="24"/>
          <w:szCs w:val="24"/>
        </w:rPr>
      </w:pPr>
    </w:p>
    <w:p w14:paraId="7104DB97" w14:textId="3B3076BC" w:rsidR="005D1E82" w:rsidRPr="00B60DB9" w:rsidRDefault="00AC6D68" w:rsidP="53F261AC">
      <w:pPr>
        <w:pStyle w:val="ListParagraph"/>
        <w:numPr>
          <w:ilvl w:val="0"/>
          <w:numId w:val="7"/>
        </w:numPr>
        <w:rPr>
          <w:b/>
          <w:bCs/>
          <w:sz w:val="24"/>
          <w:szCs w:val="24"/>
          <w:u w:val="single"/>
        </w:rPr>
      </w:pPr>
      <w:r w:rsidRPr="53F261AC">
        <w:rPr>
          <w:b/>
          <w:bCs/>
          <w:sz w:val="24"/>
          <w:szCs w:val="24"/>
        </w:rPr>
        <w:t>Close</w:t>
      </w:r>
    </w:p>
    <w:p w14:paraId="612240DF" w14:textId="00F4415F" w:rsidR="006462AC" w:rsidRPr="00DD1EDA" w:rsidRDefault="006462AC" w:rsidP="00DD1EDA">
      <w:pPr>
        <w:spacing w:after="0"/>
      </w:pPr>
    </w:p>
    <w:p w14:paraId="1C4E7D55" w14:textId="1EA9A38C" w:rsidR="315BA30B" w:rsidRDefault="315BA30B" w:rsidP="00D31A28">
      <w:pPr>
        <w:spacing w:after="0" w:line="240" w:lineRule="auto"/>
        <w:jc w:val="center"/>
        <w:rPr>
          <w:rFonts w:eastAsia="Verdana" w:cs="Verdana"/>
          <w:b/>
          <w:bCs/>
          <w:color w:val="000000" w:themeColor="text1"/>
          <w:sz w:val="28"/>
          <w:szCs w:val="28"/>
        </w:rPr>
      </w:pPr>
      <w:r w:rsidRPr="53F261AC">
        <w:rPr>
          <w:rFonts w:eastAsia="Verdana" w:cs="Verdana"/>
          <w:b/>
          <w:bCs/>
          <w:color w:val="000000" w:themeColor="text1"/>
          <w:sz w:val="28"/>
          <w:szCs w:val="28"/>
        </w:rPr>
        <w:t>MATTERS ISSUES AND QUESTIONS</w:t>
      </w:r>
    </w:p>
    <w:p w14:paraId="7F1F357F" w14:textId="3EC90DCA" w:rsidR="315BA30B" w:rsidRDefault="315BA30B" w:rsidP="315BA30B">
      <w:pPr>
        <w:spacing w:after="0" w:line="240" w:lineRule="auto"/>
        <w:ind w:left="907" w:hanging="907"/>
        <w:rPr>
          <w:rFonts w:eastAsia="Verdana" w:cs="Verdana"/>
          <w:b/>
          <w:bCs/>
          <w:color w:val="000000" w:themeColor="text1"/>
          <w:sz w:val="24"/>
          <w:szCs w:val="24"/>
        </w:rPr>
      </w:pPr>
    </w:p>
    <w:p w14:paraId="679BD2F6" w14:textId="4B240160"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b/>
          <w:bCs/>
          <w:color w:val="000000" w:themeColor="text1"/>
          <w:sz w:val="24"/>
          <w:szCs w:val="24"/>
        </w:rPr>
        <w:t>MATTER 4: EMPLOYMENT AND THE VITALITY AND VIABILITY OF CENTRES</w:t>
      </w:r>
    </w:p>
    <w:p w14:paraId="0AC29B5E" w14:textId="380FE472" w:rsidR="006462AC" w:rsidRPr="00B60DB9" w:rsidRDefault="006462AC" w:rsidP="7F6A497F">
      <w:pPr>
        <w:spacing w:after="0" w:line="240" w:lineRule="auto"/>
        <w:ind w:left="907" w:hanging="907"/>
        <w:rPr>
          <w:rFonts w:eastAsia="Verdana" w:cs="Verdana"/>
          <w:color w:val="000000" w:themeColor="text1"/>
          <w:sz w:val="24"/>
          <w:szCs w:val="24"/>
        </w:rPr>
      </w:pPr>
    </w:p>
    <w:p w14:paraId="0FEDC4E6" w14:textId="36FD681C"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u w:val="single"/>
        </w:rPr>
        <w:t>Context</w:t>
      </w:r>
      <w:r w:rsidRPr="7F6A497F">
        <w:rPr>
          <w:rFonts w:eastAsia="Verdana" w:cs="Verdana"/>
          <w:color w:val="000000" w:themeColor="text1"/>
          <w:sz w:val="24"/>
          <w:szCs w:val="24"/>
        </w:rPr>
        <w:t xml:space="preserve"> - The Plan does not identify additional sites for employment, additional floorspace is expected to be delivered through intensification and consolidation of existing employment areas. </w:t>
      </w:r>
    </w:p>
    <w:p w14:paraId="3D312B2D" w14:textId="21CFD808" w:rsidR="006462AC" w:rsidRPr="00B60DB9" w:rsidRDefault="006462AC" w:rsidP="7F6A497F">
      <w:pPr>
        <w:spacing w:after="0" w:line="240" w:lineRule="auto"/>
        <w:ind w:left="907" w:hanging="907"/>
        <w:rPr>
          <w:rFonts w:ascii="Calibri" w:eastAsia="Calibri" w:hAnsi="Calibri" w:cs="Calibri"/>
          <w:color w:val="000000" w:themeColor="text1"/>
          <w:sz w:val="24"/>
          <w:szCs w:val="24"/>
        </w:rPr>
      </w:pPr>
    </w:p>
    <w:p w14:paraId="38ACA32E" w14:textId="4018CA94"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u w:val="single"/>
        </w:rPr>
        <w:t>Note</w:t>
      </w:r>
      <w:r w:rsidRPr="7F6A497F">
        <w:rPr>
          <w:rFonts w:eastAsia="Verdana" w:cs="Verdana"/>
          <w:color w:val="000000" w:themeColor="text1"/>
          <w:sz w:val="24"/>
          <w:szCs w:val="24"/>
        </w:rPr>
        <w:t xml:space="preserve"> - On 1 September 2020, the </w:t>
      </w:r>
      <w:proofErr w:type="gramStart"/>
      <w:r w:rsidRPr="7F6A497F">
        <w:rPr>
          <w:rFonts w:eastAsia="Verdana" w:cs="Verdana"/>
          <w:color w:val="000000" w:themeColor="text1"/>
          <w:sz w:val="24"/>
          <w:szCs w:val="24"/>
        </w:rPr>
        <w:t>Town</w:t>
      </w:r>
      <w:proofErr w:type="gramEnd"/>
      <w:r w:rsidRPr="7F6A497F">
        <w:rPr>
          <w:rFonts w:eastAsia="Verdana" w:cs="Verdana"/>
          <w:color w:val="000000" w:themeColor="text1"/>
          <w:sz w:val="24"/>
          <w:szCs w:val="24"/>
        </w:rPr>
        <w:t xml:space="preserve"> and Country Planning (Use Classes) (Amendment) (England) Regulations 2020 (UCO 2020) came into force. The Regulations create some new use classes, including Class E - Commercial, business and service uses. </w:t>
      </w:r>
    </w:p>
    <w:p w14:paraId="00B59A58" w14:textId="42C2AEB2" w:rsidR="006462AC" w:rsidRPr="00B60DB9" w:rsidRDefault="006462AC" w:rsidP="7F6A497F">
      <w:pPr>
        <w:spacing w:after="0" w:line="240" w:lineRule="auto"/>
        <w:ind w:left="907" w:hanging="907"/>
        <w:rPr>
          <w:rFonts w:eastAsia="Verdana" w:cs="Verdana"/>
          <w:color w:val="000000" w:themeColor="text1"/>
          <w:sz w:val="24"/>
          <w:szCs w:val="24"/>
        </w:rPr>
      </w:pPr>
    </w:p>
    <w:p w14:paraId="6AA80953" w14:textId="716458D7"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b/>
          <w:bCs/>
          <w:color w:val="000000" w:themeColor="text1"/>
          <w:sz w:val="24"/>
          <w:szCs w:val="24"/>
        </w:rPr>
        <w:t>Issue 1 - Whether the assessment of the need for employment and the employment floorspace requirement is soundly based and whether the Plan sets out a positively prepared strategy for the economy</w:t>
      </w:r>
    </w:p>
    <w:p w14:paraId="561C9D3D" w14:textId="6FC06990" w:rsidR="006462AC" w:rsidRPr="00B60DB9" w:rsidRDefault="006462AC" w:rsidP="7F6A497F">
      <w:pPr>
        <w:spacing w:after="0" w:line="240" w:lineRule="auto"/>
        <w:ind w:left="907" w:hanging="907"/>
        <w:rPr>
          <w:rFonts w:eastAsia="Verdana" w:cs="Verdana"/>
          <w:color w:val="000000" w:themeColor="text1"/>
          <w:sz w:val="24"/>
          <w:szCs w:val="24"/>
        </w:rPr>
      </w:pPr>
    </w:p>
    <w:p w14:paraId="0D505BD4" w14:textId="796F1026"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t>Q78</w:t>
      </w:r>
      <w:r w:rsidR="006462AC">
        <w:tab/>
      </w:r>
      <w:r w:rsidRPr="7F6A497F">
        <w:rPr>
          <w:rFonts w:eastAsia="Verdana" w:cs="Verdana"/>
          <w:color w:val="000000" w:themeColor="text1"/>
          <w:sz w:val="24"/>
          <w:szCs w:val="24"/>
        </w:rPr>
        <w:t>Which employment sectors are forecast to generate the additional 8,100 jobs set out in the Greater London Authority forecast and does this reflect the Borough’s circumstances in terms of historical rates of jobs growth and the sectors envisaged for growth?</w:t>
      </w:r>
    </w:p>
    <w:p w14:paraId="478D3074" w14:textId="59E208E4" w:rsidR="006462AC" w:rsidRPr="00B60DB9" w:rsidRDefault="006462AC" w:rsidP="315BA30B">
      <w:pPr>
        <w:spacing w:after="0" w:line="240" w:lineRule="auto"/>
        <w:ind w:left="907" w:hanging="907"/>
        <w:rPr>
          <w:rFonts w:ascii="Calibri" w:eastAsia="Calibri" w:hAnsi="Calibri" w:cs="Calibri"/>
          <w:color w:val="000000" w:themeColor="text1"/>
          <w:sz w:val="24"/>
          <w:szCs w:val="24"/>
        </w:rPr>
      </w:pPr>
    </w:p>
    <w:p w14:paraId="7E74BB1A" w14:textId="728FBD67"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t>Q79</w:t>
      </w:r>
      <w:r w:rsidR="006462AC">
        <w:tab/>
      </w:r>
      <w:r w:rsidRPr="7F6A497F">
        <w:rPr>
          <w:rFonts w:eastAsia="Verdana" w:cs="Verdana"/>
          <w:color w:val="000000" w:themeColor="text1"/>
          <w:sz w:val="24"/>
          <w:szCs w:val="24"/>
        </w:rPr>
        <w:t>Would the jobs created be likely to meet the requirements of the Borough’s working population?  Are there any identified skills shortages and how would these be addressed?</w:t>
      </w:r>
    </w:p>
    <w:p w14:paraId="78530938" w14:textId="49432ADD" w:rsidR="006462AC" w:rsidRPr="00B60DB9" w:rsidRDefault="006462AC" w:rsidP="7F6A497F">
      <w:pPr>
        <w:spacing w:after="0" w:line="240" w:lineRule="auto"/>
        <w:ind w:left="907" w:hanging="907"/>
        <w:rPr>
          <w:rFonts w:ascii="Calibri" w:eastAsia="Calibri" w:hAnsi="Calibri" w:cs="Calibri"/>
          <w:color w:val="000000" w:themeColor="text1"/>
          <w:sz w:val="24"/>
          <w:szCs w:val="24"/>
        </w:rPr>
      </w:pPr>
    </w:p>
    <w:p w14:paraId="4649FAA8" w14:textId="4685E795"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t>Q80</w:t>
      </w:r>
      <w:r w:rsidR="006462AC">
        <w:tab/>
      </w:r>
      <w:r w:rsidRPr="7F6A497F">
        <w:rPr>
          <w:rFonts w:eastAsia="Verdana" w:cs="Verdana"/>
          <w:color w:val="000000" w:themeColor="text1"/>
          <w:sz w:val="24"/>
          <w:szCs w:val="24"/>
        </w:rPr>
        <w:t xml:space="preserve">How has the need for employment been translated into the floorspace requirement of 52,000 square metres set out in Policies 2 and 25?  Is the approach in relation to the following factors </w:t>
      </w:r>
      <w:proofErr w:type="gramStart"/>
      <w:r w:rsidRPr="7F6A497F">
        <w:rPr>
          <w:rFonts w:eastAsia="Verdana" w:cs="Verdana"/>
          <w:color w:val="000000" w:themeColor="text1"/>
          <w:sz w:val="24"/>
          <w:szCs w:val="24"/>
        </w:rPr>
        <w:t>justified:</w:t>
      </w:r>
      <w:proofErr w:type="gramEnd"/>
    </w:p>
    <w:p w14:paraId="64BBF45E" w14:textId="73449C89" w:rsidR="006462AC" w:rsidRPr="00B60DB9" w:rsidRDefault="006462AC" w:rsidP="7F6A497F">
      <w:pPr>
        <w:spacing w:after="0" w:line="240" w:lineRule="auto"/>
        <w:ind w:left="907" w:hanging="907"/>
        <w:rPr>
          <w:rFonts w:ascii="Calibri" w:eastAsia="Calibri" w:hAnsi="Calibri" w:cs="Calibri"/>
          <w:color w:val="000000" w:themeColor="text1"/>
          <w:sz w:val="24"/>
          <w:szCs w:val="24"/>
        </w:rPr>
      </w:pPr>
    </w:p>
    <w:p w14:paraId="2CD98B2A" w14:textId="75B41A41" w:rsidR="006462AC" w:rsidRPr="00B60DB9" w:rsidRDefault="7F6A497F" w:rsidP="7F6A497F">
      <w:pPr>
        <w:pStyle w:val="ListParagraph"/>
        <w:numPr>
          <w:ilvl w:val="0"/>
          <w:numId w:val="5"/>
        </w:numPr>
        <w:spacing w:after="0" w:line="240" w:lineRule="auto"/>
        <w:ind w:left="1627" w:hanging="720"/>
        <w:rPr>
          <w:rFonts w:eastAsia="Verdana" w:cs="Verdana"/>
          <w:color w:val="000000" w:themeColor="text1"/>
          <w:sz w:val="24"/>
          <w:szCs w:val="24"/>
        </w:rPr>
      </w:pPr>
      <w:r w:rsidRPr="53F261AC">
        <w:rPr>
          <w:rFonts w:eastAsia="Verdana" w:cs="Verdana"/>
          <w:color w:val="000000" w:themeColor="text1"/>
          <w:sz w:val="24"/>
          <w:szCs w:val="24"/>
        </w:rPr>
        <w:t>No allowance for vacancies, loss of employment land or contingencies</w:t>
      </w:r>
    </w:p>
    <w:p w14:paraId="059E17E2" w14:textId="64B934B5" w:rsidR="006462AC" w:rsidRPr="00B60DB9" w:rsidRDefault="7F6A497F" w:rsidP="7F6A497F">
      <w:pPr>
        <w:pStyle w:val="ListParagraph"/>
        <w:numPr>
          <w:ilvl w:val="0"/>
          <w:numId w:val="5"/>
        </w:numPr>
        <w:spacing w:after="0" w:line="240" w:lineRule="auto"/>
        <w:ind w:left="1627" w:hanging="720"/>
        <w:rPr>
          <w:rFonts w:eastAsia="Verdana" w:cs="Verdana"/>
          <w:color w:val="000000" w:themeColor="text1"/>
          <w:sz w:val="24"/>
          <w:szCs w:val="24"/>
        </w:rPr>
      </w:pPr>
      <w:r w:rsidRPr="53F261AC">
        <w:rPr>
          <w:rFonts w:eastAsia="Verdana" w:cs="Verdana"/>
          <w:color w:val="000000" w:themeColor="text1"/>
          <w:sz w:val="24"/>
          <w:szCs w:val="24"/>
        </w:rPr>
        <w:t>Assumptions for job densities, including any implications of the Use Classes Order as amended in 2020 and 2021 Class E</w:t>
      </w:r>
    </w:p>
    <w:p w14:paraId="5D0FD48B" w14:textId="717D90A7" w:rsidR="006462AC" w:rsidRPr="00B60DB9" w:rsidRDefault="7F6A497F" w:rsidP="7F6A497F">
      <w:pPr>
        <w:pStyle w:val="ListParagraph"/>
        <w:numPr>
          <w:ilvl w:val="0"/>
          <w:numId w:val="5"/>
        </w:numPr>
        <w:spacing w:after="0" w:line="240" w:lineRule="auto"/>
        <w:ind w:left="1627" w:hanging="720"/>
        <w:rPr>
          <w:rFonts w:eastAsia="Verdana" w:cs="Verdana"/>
          <w:color w:val="000000" w:themeColor="text1"/>
          <w:sz w:val="24"/>
          <w:szCs w:val="24"/>
        </w:rPr>
      </w:pPr>
      <w:r w:rsidRPr="53F261AC">
        <w:rPr>
          <w:rFonts w:eastAsia="Verdana" w:cs="Verdana"/>
          <w:color w:val="000000" w:themeColor="text1"/>
          <w:sz w:val="24"/>
          <w:szCs w:val="24"/>
        </w:rPr>
        <w:t>Gross developable area to net floorspace assumptions.</w:t>
      </w:r>
    </w:p>
    <w:p w14:paraId="4731C819" w14:textId="4B8A4BA8" w:rsidR="006462AC" w:rsidRPr="00B60DB9" w:rsidRDefault="006462AC" w:rsidP="7F6A497F">
      <w:pPr>
        <w:spacing w:after="0" w:line="240" w:lineRule="auto"/>
        <w:ind w:left="547" w:hanging="907"/>
        <w:rPr>
          <w:rFonts w:ascii="Calibri" w:eastAsia="Calibri" w:hAnsi="Calibri" w:cs="Calibri"/>
          <w:color w:val="000000" w:themeColor="text1"/>
          <w:sz w:val="24"/>
          <w:szCs w:val="24"/>
        </w:rPr>
      </w:pPr>
    </w:p>
    <w:p w14:paraId="0A497DF0" w14:textId="357A4E10"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t>Q81</w:t>
      </w:r>
      <w:r w:rsidR="006462AC">
        <w:tab/>
      </w:r>
      <w:r w:rsidRPr="7F6A497F">
        <w:rPr>
          <w:rFonts w:eastAsia="Verdana" w:cs="Verdana"/>
          <w:color w:val="000000" w:themeColor="text1"/>
          <w:sz w:val="24"/>
          <w:szCs w:val="24"/>
        </w:rPr>
        <w:t xml:space="preserve">Is the sensitivity 3 scenario set out in the Employment Land Study (2019) [EB6.1] realistic in terms of the likely future demand for distribution floorspace? Can additional Class B8 (storage and </w:t>
      </w:r>
      <w:r w:rsidRPr="7F6A497F">
        <w:rPr>
          <w:rFonts w:eastAsia="Verdana" w:cs="Verdana"/>
          <w:color w:val="000000" w:themeColor="text1"/>
          <w:sz w:val="24"/>
          <w:szCs w:val="24"/>
        </w:rPr>
        <w:lastRenderedPageBreak/>
        <w:t>distribution) floorspace be delivered effectively through intensification of and co-location on existing employment sites?</w:t>
      </w:r>
    </w:p>
    <w:p w14:paraId="54CD779F" w14:textId="0E57E0BC" w:rsidR="006462AC" w:rsidRPr="00B60DB9" w:rsidRDefault="006462AC" w:rsidP="7F6A497F">
      <w:pPr>
        <w:spacing w:after="0" w:line="240" w:lineRule="auto"/>
        <w:ind w:left="907" w:hanging="907"/>
        <w:rPr>
          <w:rFonts w:ascii="Calibri" w:eastAsia="Calibri" w:hAnsi="Calibri" w:cs="Calibri"/>
          <w:color w:val="000000" w:themeColor="text1"/>
          <w:sz w:val="24"/>
          <w:szCs w:val="24"/>
        </w:rPr>
      </w:pPr>
    </w:p>
    <w:p w14:paraId="19BA506E" w14:textId="4F2B5750"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t>Q82</w:t>
      </w:r>
      <w:r w:rsidR="006462AC">
        <w:tab/>
      </w:r>
      <w:r w:rsidRPr="7F6A497F">
        <w:rPr>
          <w:rFonts w:eastAsia="Verdana" w:cs="Verdana"/>
          <w:color w:val="000000" w:themeColor="text1"/>
          <w:sz w:val="24"/>
          <w:szCs w:val="24"/>
        </w:rPr>
        <w:t>Are the Strategic Industrial Locations (SIL), Locally Significant Industrial Sites (LSIS) and Borough Employment Areas (BEA) shown on Figure 9.1 and the visions set out in Appendix 2 of the Plan justified and in general conformity with the London Plan? What are the implications of allowing offices (Class E (G)(</w:t>
      </w:r>
      <w:proofErr w:type="spellStart"/>
      <w:r w:rsidRPr="7F6A497F">
        <w:rPr>
          <w:rFonts w:eastAsia="Verdana" w:cs="Verdana"/>
          <w:color w:val="000000" w:themeColor="text1"/>
          <w:sz w:val="24"/>
          <w:szCs w:val="24"/>
        </w:rPr>
        <w:t>i</w:t>
      </w:r>
      <w:proofErr w:type="spellEnd"/>
      <w:r w:rsidRPr="7F6A497F">
        <w:rPr>
          <w:rFonts w:eastAsia="Verdana" w:cs="Verdana"/>
          <w:color w:val="000000" w:themeColor="text1"/>
          <w:sz w:val="24"/>
          <w:szCs w:val="24"/>
        </w:rPr>
        <w:t>)) on BEA?  Are any main modifications necessary for soundness?</w:t>
      </w:r>
    </w:p>
    <w:p w14:paraId="5419FEA4" w14:textId="55C8986A" w:rsidR="006462AC" w:rsidRPr="00B60DB9" w:rsidRDefault="006462AC" w:rsidP="315BA30B">
      <w:pPr>
        <w:spacing w:after="0" w:line="240" w:lineRule="auto"/>
        <w:ind w:left="907" w:hanging="907"/>
        <w:rPr>
          <w:rFonts w:eastAsia="Verdana" w:cs="Verdana"/>
          <w:color w:val="000000" w:themeColor="text1"/>
          <w:sz w:val="24"/>
          <w:szCs w:val="24"/>
        </w:rPr>
      </w:pPr>
    </w:p>
    <w:p w14:paraId="114FFEBF" w14:textId="5C470D0F" w:rsidR="006462AC" w:rsidRPr="00B60DB9" w:rsidRDefault="7F6A497F" w:rsidP="315BA30B">
      <w:pPr>
        <w:spacing w:after="0" w:line="240" w:lineRule="auto"/>
        <w:ind w:left="907" w:hanging="907"/>
        <w:rPr>
          <w:rFonts w:eastAsia="Verdana" w:cs="Verdana"/>
          <w:color w:val="000000" w:themeColor="text1"/>
          <w:sz w:val="24"/>
          <w:szCs w:val="24"/>
        </w:rPr>
      </w:pPr>
      <w:r w:rsidRPr="315BA30B">
        <w:rPr>
          <w:rFonts w:eastAsia="Verdana" w:cs="Verdana"/>
          <w:color w:val="000000" w:themeColor="text1"/>
          <w:sz w:val="24"/>
          <w:szCs w:val="24"/>
        </w:rPr>
        <w:t>Q83</w:t>
      </w:r>
      <w:r w:rsidR="006462AC">
        <w:tab/>
      </w:r>
      <w:r w:rsidRPr="315BA30B">
        <w:rPr>
          <w:rFonts w:eastAsia="Verdana" w:cs="Verdana"/>
          <w:color w:val="000000" w:themeColor="text1"/>
          <w:sz w:val="24"/>
          <w:szCs w:val="24"/>
        </w:rPr>
        <w:t>Is Policy 25 justified in directing distribution uses to locations within good proximity of the strategic road network?  Should the policy also include reference to co-location?</w:t>
      </w:r>
    </w:p>
    <w:p w14:paraId="0D35C105" w14:textId="2F64A315" w:rsidR="006462AC" w:rsidRPr="00B60DB9" w:rsidRDefault="006462AC" w:rsidP="7F6A497F">
      <w:pPr>
        <w:spacing w:after="0" w:line="240" w:lineRule="auto"/>
        <w:ind w:left="907" w:hanging="907"/>
        <w:rPr>
          <w:rFonts w:eastAsia="Verdana" w:cs="Verdana"/>
          <w:color w:val="000000" w:themeColor="text1"/>
          <w:sz w:val="24"/>
          <w:szCs w:val="24"/>
        </w:rPr>
      </w:pPr>
    </w:p>
    <w:p w14:paraId="4325EEA4" w14:textId="2AF4FBD3"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t>Q84</w:t>
      </w:r>
      <w:r w:rsidR="006462AC">
        <w:tab/>
      </w:r>
      <w:r w:rsidRPr="7F6A497F">
        <w:rPr>
          <w:rFonts w:eastAsia="Verdana" w:cs="Verdana"/>
          <w:color w:val="000000" w:themeColor="text1"/>
          <w:sz w:val="24"/>
          <w:szCs w:val="24"/>
        </w:rPr>
        <w:t xml:space="preserve">Overall, are Policies 2 and 25 positively prepared, justified, effective, consistent with national policy and in general conformity with the London Plan?  </w:t>
      </w:r>
    </w:p>
    <w:p w14:paraId="05D17D35" w14:textId="0564D368" w:rsidR="006462AC" w:rsidRPr="00B60DB9" w:rsidRDefault="006462AC" w:rsidP="7F6A497F">
      <w:pPr>
        <w:spacing w:after="0" w:line="240" w:lineRule="auto"/>
        <w:ind w:left="907" w:hanging="907"/>
        <w:rPr>
          <w:rFonts w:eastAsia="Verdana" w:cs="Verdana"/>
          <w:color w:val="000000" w:themeColor="text1"/>
          <w:sz w:val="24"/>
          <w:szCs w:val="24"/>
        </w:rPr>
      </w:pPr>
    </w:p>
    <w:p w14:paraId="3E6783A3" w14:textId="037882C4"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t>Q85</w:t>
      </w:r>
      <w:r w:rsidR="006462AC">
        <w:tab/>
      </w:r>
      <w:r w:rsidRPr="7F6A497F">
        <w:rPr>
          <w:rFonts w:eastAsia="Verdana" w:cs="Verdana"/>
          <w:color w:val="000000" w:themeColor="text1"/>
          <w:sz w:val="24"/>
          <w:szCs w:val="24"/>
        </w:rPr>
        <w:t>Are any main modifications necessary for soundness?</w:t>
      </w:r>
    </w:p>
    <w:p w14:paraId="3D10AC32" w14:textId="6421CFAE" w:rsidR="006462AC" w:rsidRPr="00B60DB9" w:rsidRDefault="006462AC" w:rsidP="7F6A497F">
      <w:pPr>
        <w:spacing w:after="0" w:line="240" w:lineRule="auto"/>
        <w:ind w:left="907" w:hanging="907"/>
        <w:rPr>
          <w:rFonts w:eastAsia="Verdana" w:cs="Verdana"/>
          <w:color w:val="000000" w:themeColor="text1"/>
          <w:sz w:val="24"/>
          <w:szCs w:val="24"/>
        </w:rPr>
      </w:pPr>
    </w:p>
    <w:p w14:paraId="5A3CACFF" w14:textId="62FFE2C8"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b/>
          <w:bCs/>
          <w:color w:val="000000" w:themeColor="text1"/>
          <w:sz w:val="24"/>
          <w:szCs w:val="24"/>
        </w:rPr>
        <w:t>Issue 2 – Whether the Plan is positively prepared, justified, effective, consistent with national policy, and in general conformity with the London Plan, in relation to other Borough-wide policies for the local economy (Policies 26 – 35 and 38)</w:t>
      </w:r>
    </w:p>
    <w:p w14:paraId="50B96052" w14:textId="1989ABE7" w:rsidR="006462AC" w:rsidRPr="00B60DB9" w:rsidRDefault="006462AC" w:rsidP="7F6A497F">
      <w:pPr>
        <w:spacing w:after="0" w:line="240" w:lineRule="auto"/>
        <w:ind w:left="907" w:hanging="907"/>
        <w:rPr>
          <w:rFonts w:eastAsia="Verdana" w:cs="Verdana"/>
          <w:color w:val="000000" w:themeColor="text1"/>
          <w:sz w:val="24"/>
          <w:szCs w:val="24"/>
        </w:rPr>
      </w:pPr>
    </w:p>
    <w:p w14:paraId="7935714F" w14:textId="20502C50"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i/>
          <w:iCs/>
          <w:color w:val="000000" w:themeColor="text1"/>
          <w:sz w:val="24"/>
          <w:szCs w:val="24"/>
        </w:rPr>
        <w:t xml:space="preserve">Policy 26 – Safeguarding and Managing Strategic Industrial Land </w:t>
      </w:r>
    </w:p>
    <w:p w14:paraId="06181B1D" w14:textId="2063180A" w:rsidR="006462AC" w:rsidRPr="00B60DB9" w:rsidRDefault="006462AC" w:rsidP="7F6A497F">
      <w:pPr>
        <w:spacing w:after="0" w:line="240" w:lineRule="auto"/>
        <w:ind w:left="907" w:hanging="907"/>
        <w:rPr>
          <w:rFonts w:ascii="Calibri" w:eastAsia="Calibri" w:hAnsi="Calibri" w:cs="Calibri"/>
          <w:color w:val="000000" w:themeColor="text1"/>
          <w:sz w:val="24"/>
          <w:szCs w:val="24"/>
        </w:rPr>
      </w:pPr>
    </w:p>
    <w:p w14:paraId="19F408A7" w14:textId="4E2FB9B4"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t>Q86</w:t>
      </w:r>
      <w:r w:rsidR="006462AC">
        <w:tab/>
      </w:r>
      <w:r w:rsidRPr="7F6A497F">
        <w:rPr>
          <w:rFonts w:eastAsia="Verdana" w:cs="Verdana"/>
          <w:color w:val="000000" w:themeColor="text1"/>
          <w:sz w:val="24"/>
          <w:szCs w:val="24"/>
        </w:rPr>
        <w:t>Is Policy 26 in general conformity with the London Plan in relation to the types of uses that will be supported on Strategic Industrial Land?</w:t>
      </w:r>
    </w:p>
    <w:p w14:paraId="1C9F50C9" w14:textId="3E51B855" w:rsidR="006462AC" w:rsidRPr="00B60DB9" w:rsidRDefault="006462AC" w:rsidP="7F6A497F">
      <w:pPr>
        <w:spacing w:after="0" w:line="240" w:lineRule="auto"/>
        <w:ind w:left="907" w:hanging="907"/>
        <w:rPr>
          <w:rFonts w:ascii="Calibri" w:eastAsia="Calibri" w:hAnsi="Calibri" w:cs="Calibri"/>
          <w:color w:val="000000" w:themeColor="text1"/>
          <w:sz w:val="24"/>
          <w:szCs w:val="24"/>
        </w:rPr>
      </w:pPr>
    </w:p>
    <w:p w14:paraId="3B9698BB" w14:textId="558F3552" w:rsidR="006462AC" w:rsidRPr="00B60DB9" w:rsidRDefault="7F6A497F" w:rsidP="7F6A497F">
      <w:pPr>
        <w:spacing w:after="0" w:line="240" w:lineRule="auto"/>
        <w:ind w:left="720" w:hanging="720"/>
        <w:rPr>
          <w:rFonts w:eastAsia="Verdana" w:cs="Verdana"/>
          <w:color w:val="000000" w:themeColor="text1"/>
          <w:sz w:val="24"/>
          <w:szCs w:val="24"/>
        </w:rPr>
      </w:pPr>
      <w:r w:rsidRPr="7F6A497F">
        <w:rPr>
          <w:rFonts w:eastAsia="Verdana" w:cs="Verdana"/>
          <w:i/>
          <w:iCs/>
          <w:color w:val="000000" w:themeColor="text1"/>
          <w:sz w:val="24"/>
          <w:szCs w:val="24"/>
        </w:rPr>
        <w:t>Policy 29 – Approach to Non-Designated Employment Land</w:t>
      </w:r>
    </w:p>
    <w:p w14:paraId="017A6F6C" w14:textId="34874C15" w:rsidR="006462AC" w:rsidRPr="00B60DB9" w:rsidRDefault="006462AC" w:rsidP="7F6A497F">
      <w:pPr>
        <w:spacing w:after="0" w:line="240" w:lineRule="auto"/>
        <w:ind w:left="720" w:hanging="720"/>
        <w:rPr>
          <w:rFonts w:ascii="Calibri" w:eastAsia="Calibri" w:hAnsi="Calibri" w:cs="Calibri"/>
          <w:color w:val="000000" w:themeColor="text1"/>
          <w:sz w:val="24"/>
          <w:szCs w:val="24"/>
        </w:rPr>
      </w:pPr>
    </w:p>
    <w:p w14:paraId="19DDA7F8" w14:textId="4648218A"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t>Q87</w:t>
      </w:r>
      <w:r w:rsidR="006462AC">
        <w:tab/>
      </w:r>
      <w:r w:rsidRPr="7F6A497F">
        <w:rPr>
          <w:rFonts w:eastAsia="Verdana" w:cs="Verdana"/>
          <w:color w:val="000000" w:themeColor="text1"/>
          <w:sz w:val="24"/>
          <w:szCs w:val="24"/>
        </w:rPr>
        <w:t>Is Policy 29 justified including the 12-month marketing requirement in criterion D and are any main modifications necessary for general conformity with the London Plan and to address soundness issues?</w:t>
      </w:r>
    </w:p>
    <w:p w14:paraId="21F9506D" w14:textId="1C1DC289" w:rsidR="006462AC" w:rsidRPr="00B60DB9" w:rsidRDefault="006462AC" w:rsidP="7F6A497F">
      <w:pPr>
        <w:spacing w:after="0" w:line="240" w:lineRule="auto"/>
        <w:ind w:left="907" w:hanging="907"/>
        <w:rPr>
          <w:rFonts w:ascii="Calibri" w:eastAsia="Calibri" w:hAnsi="Calibri" w:cs="Calibri"/>
          <w:color w:val="000000" w:themeColor="text1"/>
          <w:sz w:val="24"/>
          <w:szCs w:val="24"/>
        </w:rPr>
      </w:pPr>
    </w:p>
    <w:p w14:paraId="78931966" w14:textId="619E188D" w:rsidR="006462AC" w:rsidRPr="00B60DB9" w:rsidRDefault="7F6A497F" w:rsidP="7F6A497F">
      <w:pPr>
        <w:spacing w:after="0" w:line="240" w:lineRule="auto"/>
        <w:ind w:left="720" w:hanging="720"/>
        <w:rPr>
          <w:rFonts w:eastAsia="Verdana" w:cs="Verdana"/>
          <w:color w:val="000000" w:themeColor="text1"/>
          <w:sz w:val="24"/>
          <w:szCs w:val="24"/>
        </w:rPr>
      </w:pPr>
      <w:r w:rsidRPr="7F6A497F">
        <w:rPr>
          <w:rFonts w:eastAsia="Verdana" w:cs="Verdana"/>
          <w:i/>
          <w:iCs/>
          <w:color w:val="000000" w:themeColor="text1"/>
          <w:sz w:val="24"/>
          <w:szCs w:val="24"/>
        </w:rPr>
        <w:t>Policy 30 – Industrial Masterplan Approach</w:t>
      </w:r>
    </w:p>
    <w:p w14:paraId="491BC83C" w14:textId="47CA7E49" w:rsidR="006462AC" w:rsidRPr="00B60DB9" w:rsidRDefault="006462AC" w:rsidP="7F6A497F">
      <w:pPr>
        <w:spacing w:after="0" w:line="240" w:lineRule="auto"/>
        <w:ind w:left="720" w:hanging="720"/>
        <w:rPr>
          <w:rFonts w:ascii="Calibri" w:eastAsia="Calibri" w:hAnsi="Calibri" w:cs="Calibri"/>
          <w:color w:val="000000" w:themeColor="text1"/>
          <w:sz w:val="24"/>
          <w:szCs w:val="24"/>
        </w:rPr>
      </w:pPr>
    </w:p>
    <w:p w14:paraId="600A3697" w14:textId="785E0A7B" w:rsidR="006462AC" w:rsidRPr="00B60DB9" w:rsidRDefault="7F6A497F" w:rsidP="315BA30B">
      <w:pPr>
        <w:spacing w:after="0" w:line="240" w:lineRule="auto"/>
        <w:ind w:left="907" w:hanging="907"/>
        <w:rPr>
          <w:rFonts w:eastAsia="Verdana" w:cs="Verdana"/>
          <w:color w:val="000000" w:themeColor="text1"/>
          <w:sz w:val="24"/>
          <w:szCs w:val="24"/>
        </w:rPr>
      </w:pPr>
      <w:r w:rsidRPr="315BA30B">
        <w:rPr>
          <w:rFonts w:eastAsia="Verdana" w:cs="Verdana"/>
          <w:color w:val="000000" w:themeColor="text1"/>
          <w:sz w:val="24"/>
          <w:szCs w:val="24"/>
        </w:rPr>
        <w:t>Q88</w:t>
      </w:r>
      <w:r w:rsidR="006462AC">
        <w:tab/>
      </w:r>
      <w:r w:rsidRPr="315BA30B">
        <w:rPr>
          <w:rFonts w:eastAsia="Verdana" w:cs="Verdana"/>
          <w:color w:val="000000" w:themeColor="text1"/>
          <w:sz w:val="24"/>
          <w:szCs w:val="24"/>
        </w:rPr>
        <w:t>Should Policy 30 set out a specific requirement for a masterplan as part of proposals for Borough Employment Areas/Strategic Industrial Land/Locally Significant Industrial Sites?  Is it sufficiently clear what is meant by the reference to employment floorspace in part B of the policy?</w:t>
      </w:r>
    </w:p>
    <w:p w14:paraId="3E2EB3FC" w14:textId="5DDB83F1" w:rsidR="006462AC" w:rsidRPr="00B60DB9" w:rsidRDefault="006462AC" w:rsidP="7F6A497F">
      <w:pPr>
        <w:spacing w:after="0" w:line="240" w:lineRule="auto"/>
        <w:ind w:left="907" w:hanging="907"/>
        <w:rPr>
          <w:rFonts w:eastAsia="Verdana" w:cs="Verdana"/>
          <w:color w:val="000000" w:themeColor="text1"/>
          <w:sz w:val="24"/>
          <w:szCs w:val="24"/>
        </w:rPr>
      </w:pPr>
    </w:p>
    <w:p w14:paraId="4849A9F1" w14:textId="7EE0801D"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lastRenderedPageBreak/>
        <w:t>Q89</w:t>
      </w:r>
      <w:r w:rsidR="006462AC">
        <w:tab/>
      </w:r>
      <w:r w:rsidRPr="7F6A497F">
        <w:rPr>
          <w:rFonts w:eastAsia="Verdana" w:cs="Verdana"/>
          <w:color w:val="000000" w:themeColor="text1"/>
          <w:sz w:val="24"/>
          <w:szCs w:val="24"/>
        </w:rPr>
        <w:t>What is the role of the Industrial Intensification Supplementary Planning Document in providing more detail of the implementation of the Plan’s employment policies?</w:t>
      </w:r>
    </w:p>
    <w:p w14:paraId="4A3FCE77" w14:textId="0A917561" w:rsidR="006462AC" w:rsidRPr="00B60DB9" w:rsidRDefault="006462AC" w:rsidP="7F6A497F">
      <w:pPr>
        <w:spacing w:after="0" w:line="240" w:lineRule="auto"/>
        <w:ind w:left="907" w:hanging="907"/>
        <w:rPr>
          <w:rFonts w:ascii="Calibri" w:eastAsia="Calibri" w:hAnsi="Calibri" w:cs="Calibri"/>
          <w:color w:val="000000" w:themeColor="text1"/>
          <w:sz w:val="24"/>
          <w:szCs w:val="24"/>
        </w:rPr>
      </w:pPr>
    </w:p>
    <w:p w14:paraId="1B337A1F" w14:textId="6FDD63B1"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i/>
          <w:iCs/>
          <w:color w:val="000000" w:themeColor="text1"/>
          <w:sz w:val="24"/>
          <w:szCs w:val="24"/>
        </w:rPr>
        <w:t>Policy 31 – Co-location Design Principles</w:t>
      </w:r>
    </w:p>
    <w:p w14:paraId="4FFF7633" w14:textId="3BD7F918" w:rsidR="006462AC" w:rsidRPr="00B60DB9" w:rsidRDefault="006462AC" w:rsidP="7F6A497F">
      <w:pPr>
        <w:spacing w:after="0" w:line="240" w:lineRule="auto"/>
        <w:ind w:left="907" w:hanging="907"/>
        <w:rPr>
          <w:rFonts w:ascii="Calibri" w:eastAsia="Calibri" w:hAnsi="Calibri" w:cs="Calibri"/>
          <w:color w:val="000000" w:themeColor="text1"/>
          <w:sz w:val="24"/>
          <w:szCs w:val="24"/>
        </w:rPr>
      </w:pPr>
    </w:p>
    <w:p w14:paraId="51C39FC0" w14:textId="69AA557A"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t>Q90</w:t>
      </w:r>
      <w:r w:rsidR="006462AC">
        <w:tab/>
      </w:r>
      <w:r w:rsidRPr="7F6A497F">
        <w:rPr>
          <w:rFonts w:eastAsia="Verdana" w:cs="Verdana"/>
          <w:color w:val="000000" w:themeColor="text1"/>
          <w:sz w:val="24"/>
          <w:szCs w:val="24"/>
        </w:rPr>
        <w:t>Is Policy 31 positively prepared and should it include reference to food and drink uses?</w:t>
      </w:r>
    </w:p>
    <w:p w14:paraId="343106D3" w14:textId="6E7D69EC" w:rsidR="006462AC" w:rsidRPr="00B60DB9" w:rsidRDefault="006462AC" w:rsidP="7F6A497F">
      <w:pPr>
        <w:spacing w:after="0" w:line="240" w:lineRule="auto"/>
        <w:ind w:left="907" w:hanging="907"/>
        <w:rPr>
          <w:rFonts w:ascii="Calibri" w:eastAsia="Calibri" w:hAnsi="Calibri" w:cs="Calibri"/>
          <w:color w:val="000000" w:themeColor="text1"/>
          <w:sz w:val="24"/>
          <w:szCs w:val="24"/>
        </w:rPr>
      </w:pPr>
    </w:p>
    <w:p w14:paraId="5CE4C27B" w14:textId="6AC46A2F"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t>Q91</w:t>
      </w:r>
      <w:r w:rsidR="006462AC">
        <w:tab/>
      </w:r>
      <w:r w:rsidRPr="7F6A497F">
        <w:rPr>
          <w:rFonts w:eastAsia="Verdana" w:cs="Verdana"/>
          <w:color w:val="000000" w:themeColor="text1"/>
          <w:sz w:val="24"/>
          <w:szCs w:val="24"/>
        </w:rPr>
        <w:t xml:space="preserve">What effect, if any, would </w:t>
      </w:r>
      <w:proofErr w:type="gramStart"/>
      <w:r w:rsidRPr="7F6A497F">
        <w:rPr>
          <w:rFonts w:eastAsia="Verdana" w:cs="Verdana"/>
          <w:color w:val="000000" w:themeColor="text1"/>
          <w:sz w:val="24"/>
          <w:szCs w:val="24"/>
        </w:rPr>
        <w:t>permitted</w:t>
      </w:r>
      <w:proofErr w:type="gramEnd"/>
      <w:r w:rsidRPr="7F6A497F">
        <w:rPr>
          <w:rFonts w:eastAsia="Verdana" w:cs="Verdana"/>
          <w:color w:val="000000" w:themeColor="text1"/>
          <w:sz w:val="24"/>
          <w:szCs w:val="24"/>
        </w:rPr>
        <w:t xml:space="preserve"> development rights for the change of use within Class E have on the Plan’s strategy to intensify and consolidate employment development on existing sites?</w:t>
      </w:r>
    </w:p>
    <w:p w14:paraId="77D0C9AE" w14:textId="1D3C3B80" w:rsidR="006462AC" w:rsidRPr="00B60DB9" w:rsidRDefault="006462AC" w:rsidP="7F6A497F">
      <w:pPr>
        <w:spacing w:after="0" w:line="240" w:lineRule="auto"/>
        <w:ind w:left="907" w:hanging="907"/>
        <w:rPr>
          <w:rFonts w:ascii="Calibri" w:eastAsia="Calibri" w:hAnsi="Calibri" w:cs="Calibri"/>
          <w:color w:val="FF0000"/>
          <w:sz w:val="24"/>
          <w:szCs w:val="24"/>
        </w:rPr>
      </w:pPr>
    </w:p>
    <w:p w14:paraId="11CC708F" w14:textId="2DC11027"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t>Q92</w:t>
      </w:r>
      <w:r w:rsidR="006462AC">
        <w:tab/>
      </w:r>
      <w:r w:rsidRPr="7F6A497F">
        <w:rPr>
          <w:rFonts w:eastAsia="Verdana" w:cs="Verdana"/>
          <w:color w:val="000000" w:themeColor="text1"/>
          <w:sz w:val="24"/>
          <w:szCs w:val="24"/>
        </w:rPr>
        <w:t>What evidence justifies the threshold in Policy 33 of 1,000m</w:t>
      </w:r>
      <w:r w:rsidRPr="7F6A497F">
        <w:rPr>
          <w:rFonts w:eastAsia="Verdana" w:cs="Verdana"/>
          <w:color w:val="000000" w:themeColor="text1"/>
          <w:sz w:val="24"/>
          <w:szCs w:val="24"/>
          <w:vertAlign w:val="superscript"/>
        </w:rPr>
        <w:t>2</w:t>
      </w:r>
      <w:r w:rsidRPr="7F6A497F">
        <w:rPr>
          <w:rFonts w:eastAsia="Verdana" w:cs="Verdana"/>
          <w:color w:val="000000" w:themeColor="text1"/>
          <w:sz w:val="24"/>
          <w:szCs w:val="24"/>
        </w:rPr>
        <w:t xml:space="preserve"> for the delivery of affordable workspaces as part of new employment development?</w:t>
      </w:r>
    </w:p>
    <w:p w14:paraId="3F629343" w14:textId="60840E05" w:rsidR="006462AC" w:rsidRPr="00B60DB9" w:rsidRDefault="006462AC" w:rsidP="315BA30B">
      <w:pPr>
        <w:spacing w:after="0" w:line="240" w:lineRule="auto"/>
        <w:ind w:left="907" w:hanging="907"/>
        <w:rPr>
          <w:rFonts w:eastAsia="Verdana" w:cs="Verdana"/>
          <w:color w:val="000000" w:themeColor="text1"/>
          <w:sz w:val="24"/>
          <w:szCs w:val="24"/>
        </w:rPr>
      </w:pPr>
    </w:p>
    <w:p w14:paraId="11394CA7" w14:textId="3654D363" w:rsidR="006462AC" w:rsidRPr="00B60DB9" w:rsidRDefault="7F6A497F" w:rsidP="7F6A497F">
      <w:pPr>
        <w:spacing w:after="0" w:line="240" w:lineRule="auto"/>
        <w:ind w:left="720" w:hanging="720"/>
        <w:rPr>
          <w:rFonts w:eastAsia="Verdana" w:cs="Verdana"/>
          <w:color w:val="000000" w:themeColor="text1"/>
          <w:sz w:val="24"/>
          <w:szCs w:val="24"/>
        </w:rPr>
      </w:pPr>
      <w:r w:rsidRPr="7F6A497F">
        <w:rPr>
          <w:rFonts w:eastAsia="Verdana" w:cs="Verdana"/>
          <w:i/>
          <w:iCs/>
          <w:color w:val="000000" w:themeColor="text1"/>
          <w:sz w:val="24"/>
          <w:szCs w:val="24"/>
        </w:rPr>
        <w:t>Policy 35 – Railway Arches</w:t>
      </w:r>
    </w:p>
    <w:p w14:paraId="6F72A6B8" w14:textId="27883516" w:rsidR="006462AC" w:rsidRPr="00B60DB9" w:rsidRDefault="006462AC" w:rsidP="7F6A497F">
      <w:pPr>
        <w:spacing w:after="0" w:line="240" w:lineRule="auto"/>
        <w:ind w:left="720" w:hanging="720"/>
        <w:rPr>
          <w:rFonts w:ascii="Calibri" w:eastAsia="Calibri" w:hAnsi="Calibri" w:cs="Calibri"/>
          <w:color w:val="000000" w:themeColor="text1"/>
          <w:sz w:val="24"/>
          <w:szCs w:val="24"/>
        </w:rPr>
      </w:pPr>
    </w:p>
    <w:p w14:paraId="3FA0ACFD" w14:textId="035F457E" w:rsidR="006462AC" w:rsidRPr="00B60DB9" w:rsidRDefault="7F6A497F" w:rsidP="315BA30B">
      <w:pPr>
        <w:spacing w:after="0" w:line="240" w:lineRule="auto"/>
        <w:ind w:left="907" w:hanging="907"/>
        <w:rPr>
          <w:rFonts w:eastAsia="Verdana" w:cs="Verdana"/>
          <w:color w:val="000000" w:themeColor="text1"/>
          <w:sz w:val="24"/>
          <w:szCs w:val="24"/>
        </w:rPr>
      </w:pPr>
      <w:r w:rsidRPr="315BA30B">
        <w:rPr>
          <w:rFonts w:eastAsia="Verdana" w:cs="Verdana"/>
          <w:color w:val="000000" w:themeColor="text1"/>
          <w:sz w:val="24"/>
          <w:szCs w:val="24"/>
        </w:rPr>
        <w:t>Q93</w:t>
      </w:r>
      <w:r w:rsidR="006462AC">
        <w:tab/>
      </w:r>
      <w:r w:rsidRPr="315BA30B">
        <w:rPr>
          <w:rFonts w:eastAsia="Verdana" w:cs="Verdana"/>
          <w:color w:val="000000" w:themeColor="text1"/>
          <w:sz w:val="24"/>
          <w:szCs w:val="24"/>
        </w:rPr>
        <w:t>Is Policy 35 positively prepared and justified in relation to the uses that will be supported in railway arches?</w:t>
      </w:r>
    </w:p>
    <w:p w14:paraId="0F3803E6" w14:textId="2105A832" w:rsidR="315BA30B" w:rsidRDefault="315BA30B" w:rsidP="315BA30B">
      <w:pPr>
        <w:spacing w:after="0" w:line="240" w:lineRule="auto"/>
        <w:ind w:left="907" w:hanging="907"/>
        <w:rPr>
          <w:rFonts w:eastAsia="Verdana" w:cs="Verdana"/>
          <w:color w:val="000000" w:themeColor="text1"/>
          <w:sz w:val="24"/>
          <w:szCs w:val="24"/>
        </w:rPr>
      </w:pPr>
    </w:p>
    <w:p w14:paraId="093BC1B6" w14:textId="05D2DC32" w:rsidR="006462AC" w:rsidRPr="00B60DB9" w:rsidRDefault="7F6A497F" w:rsidP="315BA30B">
      <w:pPr>
        <w:pStyle w:val="ListParagraph"/>
        <w:numPr>
          <w:ilvl w:val="0"/>
          <w:numId w:val="4"/>
        </w:numPr>
        <w:spacing w:after="0" w:line="240" w:lineRule="auto"/>
        <w:ind w:left="1627"/>
        <w:rPr>
          <w:rFonts w:eastAsia="Verdana" w:cs="Verdana"/>
          <w:color w:val="000000" w:themeColor="text1"/>
          <w:sz w:val="24"/>
          <w:szCs w:val="24"/>
        </w:rPr>
      </w:pPr>
      <w:r w:rsidRPr="53F261AC">
        <w:rPr>
          <w:rFonts w:eastAsia="Verdana" w:cs="Verdana"/>
          <w:color w:val="000000" w:themeColor="text1"/>
          <w:sz w:val="24"/>
          <w:szCs w:val="24"/>
        </w:rPr>
        <w:t>Is further clarity required on arches that are located within Borough Employment Areas/Strategic Industrial Land/Locally Significant Industrial Sites?</w:t>
      </w:r>
    </w:p>
    <w:p w14:paraId="737614E5" w14:textId="144AB6C7" w:rsidR="006462AC" w:rsidRPr="00B60DB9" w:rsidRDefault="7F6A497F" w:rsidP="315BA30B">
      <w:pPr>
        <w:spacing w:after="0" w:line="240" w:lineRule="auto"/>
        <w:ind w:left="907"/>
        <w:rPr>
          <w:rFonts w:eastAsia="Verdana" w:cs="Verdana"/>
          <w:color w:val="000000" w:themeColor="text1"/>
          <w:sz w:val="24"/>
          <w:szCs w:val="24"/>
        </w:rPr>
      </w:pPr>
      <w:r w:rsidRPr="315BA30B">
        <w:rPr>
          <w:rFonts w:eastAsia="Verdana" w:cs="Verdana"/>
          <w:color w:val="000000" w:themeColor="text1"/>
          <w:sz w:val="24"/>
          <w:szCs w:val="24"/>
        </w:rPr>
        <w:t xml:space="preserve"> </w:t>
      </w:r>
    </w:p>
    <w:p w14:paraId="47595A8C" w14:textId="33B298B6" w:rsidR="006462AC" w:rsidRPr="00B60DB9" w:rsidRDefault="7F6A497F" w:rsidP="7F6A497F">
      <w:pPr>
        <w:pStyle w:val="ListParagraph"/>
        <w:numPr>
          <w:ilvl w:val="0"/>
          <w:numId w:val="4"/>
        </w:numPr>
        <w:spacing w:after="0" w:line="240" w:lineRule="auto"/>
        <w:ind w:left="1627"/>
        <w:rPr>
          <w:rFonts w:eastAsia="Verdana" w:cs="Verdana"/>
          <w:color w:val="000000" w:themeColor="text1"/>
          <w:sz w:val="24"/>
          <w:szCs w:val="24"/>
        </w:rPr>
      </w:pPr>
      <w:r w:rsidRPr="53F261AC">
        <w:rPr>
          <w:rFonts w:eastAsia="Verdana" w:cs="Verdana"/>
          <w:color w:val="000000" w:themeColor="text1"/>
          <w:sz w:val="24"/>
          <w:szCs w:val="24"/>
        </w:rPr>
        <w:t>Is the reference to their role in providing ‘affordable’ locations for employment activities in paragraph 9.51 justified?</w:t>
      </w:r>
    </w:p>
    <w:p w14:paraId="156FEDBE" w14:textId="5B9BD2E1" w:rsidR="006462AC" w:rsidRPr="00B60DB9" w:rsidRDefault="006462AC" w:rsidP="7F6A497F">
      <w:pPr>
        <w:spacing w:after="0" w:line="240" w:lineRule="auto"/>
        <w:ind w:left="907" w:hanging="907"/>
        <w:rPr>
          <w:rFonts w:ascii="Calibri" w:eastAsia="Calibri" w:hAnsi="Calibri" w:cs="Calibri"/>
          <w:color w:val="FF0000"/>
          <w:sz w:val="24"/>
          <w:szCs w:val="24"/>
        </w:rPr>
      </w:pPr>
    </w:p>
    <w:p w14:paraId="4E1587D5" w14:textId="78EF9B89" w:rsidR="006462AC" w:rsidRPr="00B60DB9" w:rsidRDefault="006462AC" w:rsidP="7F6A497F">
      <w:pPr>
        <w:spacing w:after="0" w:line="240" w:lineRule="auto"/>
        <w:ind w:left="907" w:hanging="907"/>
        <w:rPr>
          <w:rFonts w:ascii="Calibri" w:eastAsia="Calibri" w:hAnsi="Calibri" w:cs="Calibri"/>
          <w:color w:val="FF0000"/>
          <w:sz w:val="24"/>
          <w:szCs w:val="24"/>
        </w:rPr>
      </w:pPr>
    </w:p>
    <w:p w14:paraId="564883FB" w14:textId="69707D11"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i/>
          <w:iCs/>
          <w:color w:val="000000" w:themeColor="text1"/>
          <w:sz w:val="24"/>
          <w:szCs w:val="24"/>
        </w:rPr>
        <w:t>Policy 38 – Blackhorse Lane Creative Enterprise Zone</w:t>
      </w:r>
    </w:p>
    <w:p w14:paraId="0CDA2956" w14:textId="0DEEBE24" w:rsidR="006462AC" w:rsidRPr="00B60DB9" w:rsidRDefault="006462AC" w:rsidP="7F6A497F">
      <w:pPr>
        <w:spacing w:after="0" w:line="240" w:lineRule="auto"/>
        <w:ind w:left="907" w:hanging="907"/>
        <w:rPr>
          <w:rFonts w:ascii="Calibri" w:eastAsia="Calibri" w:hAnsi="Calibri" w:cs="Calibri"/>
          <w:color w:val="000000" w:themeColor="text1"/>
          <w:sz w:val="24"/>
          <w:szCs w:val="24"/>
        </w:rPr>
      </w:pPr>
    </w:p>
    <w:p w14:paraId="3F02050D" w14:textId="4DBFFF2B" w:rsidR="006462AC" w:rsidRPr="00B60DB9" w:rsidRDefault="7F6A497F" w:rsidP="315BA30B">
      <w:pPr>
        <w:spacing w:after="0" w:line="240" w:lineRule="auto"/>
        <w:ind w:left="907" w:hanging="907"/>
        <w:contextualSpacing/>
        <w:rPr>
          <w:rFonts w:eastAsia="Verdana" w:cs="Verdana"/>
          <w:color w:val="000000" w:themeColor="text1"/>
          <w:sz w:val="24"/>
          <w:szCs w:val="24"/>
        </w:rPr>
      </w:pPr>
      <w:r w:rsidRPr="315BA30B">
        <w:rPr>
          <w:rFonts w:eastAsia="Verdana" w:cs="Verdana"/>
          <w:color w:val="000000" w:themeColor="text1"/>
          <w:sz w:val="24"/>
          <w:szCs w:val="24"/>
        </w:rPr>
        <w:t>Q94</w:t>
      </w:r>
      <w:r w:rsidR="006462AC">
        <w:tab/>
      </w:r>
      <w:r w:rsidRPr="315BA30B">
        <w:rPr>
          <w:rFonts w:eastAsia="Verdana" w:cs="Verdana"/>
          <w:color w:val="000000" w:themeColor="text1"/>
          <w:sz w:val="24"/>
          <w:szCs w:val="24"/>
        </w:rPr>
        <w:t>Is the policy justified and how would it be implemented in practice?</w:t>
      </w:r>
    </w:p>
    <w:p w14:paraId="4CCA0FDE" w14:textId="6717B6CF" w:rsidR="006462AC" w:rsidRPr="00B60DB9" w:rsidRDefault="7F6A497F" w:rsidP="315BA30B">
      <w:pPr>
        <w:spacing w:after="0" w:line="240" w:lineRule="auto"/>
        <w:ind w:left="907" w:hanging="907"/>
        <w:contextualSpacing/>
        <w:rPr>
          <w:rFonts w:eastAsia="Verdana" w:cs="Verdana"/>
          <w:color w:val="000000" w:themeColor="text1"/>
          <w:sz w:val="24"/>
          <w:szCs w:val="24"/>
        </w:rPr>
      </w:pPr>
      <w:r w:rsidRPr="315BA30B">
        <w:rPr>
          <w:rFonts w:eastAsia="Verdana" w:cs="Verdana"/>
          <w:color w:val="000000" w:themeColor="text1"/>
          <w:sz w:val="24"/>
          <w:szCs w:val="24"/>
        </w:rPr>
        <w:t xml:space="preserve">  </w:t>
      </w:r>
    </w:p>
    <w:p w14:paraId="4ADC6D11" w14:textId="21C23C5F" w:rsidR="006462AC" w:rsidRPr="00B60DB9" w:rsidRDefault="7F6A497F" w:rsidP="315BA30B">
      <w:pPr>
        <w:pStyle w:val="ListParagraph"/>
        <w:numPr>
          <w:ilvl w:val="0"/>
          <w:numId w:val="3"/>
        </w:numPr>
        <w:spacing w:after="0" w:line="240" w:lineRule="auto"/>
        <w:ind w:left="1741" w:hanging="720"/>
        <w:rPr>
          <w:rFonts w:eastAsia="Verdana" w:cs="Verdana"/>
          <w:color w:val="000000" w:themeColor="text1"/>
          <w:sz w:val="24"/>
          <w:szCs w:val="24"/>
        </w:rPr>
      </w:pPr>
      <w:r w:rsidRPr="53F261AC">
        <w:rPr>
          <w:rFonts w:eastAsia="Verdana" w:cs="Verdana"/>
          <w:color w:val="000000" w:themeColor="text1"/>
          <w:sz w:val="24"/>
          <w:szCs w:val="24"/>
        </w:rPr>
        <w:t xml:space="preserve">Should the policy include flexibility for consideration of development viability?  </w:t>
      </w:r>
    </w:p>
    <w:p w14:paraId="18E41A5F" w14:textId="4705EA03" w:rsidR="315BA30B" w:rsidRDefault="315BA30B" w:rsidP="315BA30B">
      <w:pPr>
        <w:spacing w:after="0" w:line="240" w:lineRule="auto"/>
        <w:ind w:left="661"/>
        <w:rPr>
          <w:rFonts w:eastAsia="Verdana" w:cs="Verdana"/>
          <w:color w:val="000000" w:themeColor="text1"/>
          <w:sz w:val="24"/>
          <w:szCs w:val="24"/>
        </w:rPr>
      </w:pPr>
    </w:p>
    <w:p w14:paraId="312DDB60" w14:textId="656DC571" w:rsidR="006462AC" w:rsidRPr="00B60DB9" w:rsidRDefault="7F6A497F" w:rsidP="7F6A497F">
      <w:pPr>
        <w:pStyle w:val="ListParagraph"/>
        <w:numPr>
          <w:ilvl w:val="0"/>
          <w:numId w:val="3"/>
        </w:numPr>
        <w:spacing w:after="0" w:line="240" w:lineRule="auto"/>
        <w:ind w:left="1741" w:hanging="720"/>
        <w:rPr>
          <w:rFonts w:eastAsia="Verdana" w:cs="Verdana"/>
          <w:color w:val="000000" w:themeColor="text1"/>
          <w:sz w:val="24"/>
          <w:szCs w:val="24"/>
        </w:rPr>
      </w:pPr>
      <w:r w:rsidRPr="53F261AC">
        <w:rPr>
          <w:rFonts w:eastAsia="Verdana" w:cs="Verdana"/>
          <w:color w:val="000000" w:themeColor="text1"/>
          <w:sz w:val="24"/>
          <w:szCs w:val="24"/>
        </w:rPr>
        <w:t>Should criterion C include creative workspaces?</w:t>
      </w:r>
    </w:p>
    <w:p w14:paraId="44827D2A" w14:textId="39D163E4" w:rsidR="006462AC" w:rsidRPr="00B60DB9" w:rsidRDefault="006462AC" w:rsidP="7F6A497F">
      <w:pPr>
        <w:spacing w:after="0" w:line="240" w:lineRule="auto"/>
        <w:ind w:left="547" w:hanging="907"/>
        <w:rPr>
          <w:rFonts w:ascii="Calibri" w:eastAsia="Calibri" w:hAnsi="Calibri" w:cs="Calibri"/>
          <w:color w:val="000000" w:themeColor="text1"/>
          <w:sz w:val="24"/>
          <w:szCs w:val="24"/>
        </w:rPr>
      </w:pPr>
    </w:p>
    <w:p w14:paraId="6932C814" w14:textId="340300C6"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t>Q95</w:t>
      </w:r>
      <w:r w:rsidR="006462AC">
        <w:tab/>
      </w:r>
      <w:r w:rsidRPr="7F6A497F">
        <w:rPr>
          <w:rFonts w:eastAsia="Verdana" w:cs="Verdana"/>
          <w:color w:val="000000" w:themeColor="text1"/>
          <w:sz w:val="24"/>
          <w:szCs w:val="24"/>
        </w:rPr>
        <w:t xml:space="preserve">Overall, is the Plan positively prepared, justified, effective, consistent with national policy, and in general conformity with the London Plan in relation to other Borough-wide policies for the local economy?  </w:t>
      </w:r>
    </w:p>
    <w:p w14:paraId="799766DA" w14:textId="30FFB8EA" w:rsidR="006462AC" w:rsidRPr="00B60DB9" w:rsidRDefault="006462AC" w:rsidP="7F6A497F">
      <w:pPr>
        <w:spacing w:after="0" w:line="240" w:lineRule="auto"/>
        <w:ind w:left="907" w:hanging="907"/>
        <w:rPr>
          <w:rFonts w:eastAsia="Verdana" w:cs="Verdana"/>
          <w:color w:val="000000" w:themeColor="text1"/>
          <w:sz w:val="24"/>
          <w:szCs w:val="24"/>
        </w:rPr>
      </w:pPr>
    </w:p>
    <w:p w14:paraId="23FA6900" w14:textId="072D39AD"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lastRenderedPageBreak/>
        <w:t>Q96</w:t>
      </w:r>
      <w:r w:rsidR="006462AC">
        <w:tab/>
      </w:r>
      <w:r w:rsidRPr="7F6A497F">
        <w:rPr>
          <w:rFonts w:eastAsia="Verdana" w:cs="Verdana"/>
          <w:color w:val="000000" w:themeColor="text1"/>
          <w:sz w:val="24"/>
          <w:szCs w:val="24"/>
        </w:rPr>
        <w:t>Are any main modifications necessary for soundness?</w:t>
      </w:r>
    </w:p>
    <w:p w14:paraId="0A699919" w14:textId="3D86925B" w:rsidR="006462AC" w:rsidRPr="00B60DB9" w:rsidRDefault="006462AC" w:rsidP="7F6A497F">
      <w:pPr>
        <w:spacing w:after="0" w:line="240" w:lineRule="auto"/>
        <w:ind w:left="907" w:hanging="907"/>
        <w:rPr>
          <w:rFonts w:eastAsia="Verdana" w:cs="Verdana"/>
          <w:color w:val="000000" w:themeColor="text1"/>
          <w:sz w:val="24"/>
          <w:szCs w:val="24"/>
        </w:rPr>
      </w:pPr>
    </w:p>
    <w:p w14:paraId="026EBFB5" w14:textId="150FB0B2" w:rsidR="006462AC" w:rsidRPr="00B60DB9" w:rsidRDefault="7F6A497F" w:rsidP="315BA30B">
      <w:pPr>
        <w:spacing w:after="0" w:line="240" w:lineRule="auto"/>
        <w:ind w:left="907" w:hanging="907"/>
        <w:rPr>
          <w:rFonts w:eastAsia="Verdana" w:cs="Verdana"/>
          <w:color w:val="000000" w:themeColor="text1"/>
          <w:sz w:val="24"/>
          <w:szCs w:val="24"/>
        </w:rPr>
      </w:pPr>
      <w:r w:rsidRPr="315BA30B">
        <w:rPr>
          <w:rFonts w:eastAsia="Verdana" w:cs="Verdana"/>
          <w:b/>
          <w:bCs/>
          <w:color w:val="000000" w:themeColor="text1"/>
          <w:sz w:val="24"/>
          <w:szCs w:val="24"/>
        </w:rPr>
        <w:t>Issue 3 – Whether the Plan will contribute to the vitality and viability of Walthamstow town centre, the District Centres, Neighbourhood Centres, and the Local Retail Parades (Policies 39 – 47)</w:t>
      </w:r>
    </w:p>
    <w:p w14:paraId="1AAD711D" w14:textId="47DB054B" w:rsidR="006462AC" w:rsidRPr="00B60DB9" w:rsidRDefault="006462AC" w:rsidP="7F6A497F">
      <w:pPr>
        <w:spacing w:after="0" w:line="240" w:lineRule="auto"/>
        <w:ind w:left="907" w:hanging="907"/>
        <w:rPr>
          <w:rFonts w:ascii="Calibri" w:eastAsia="Calibri" w:hAnsi="Calibri" w:cs="Calibri"/>
          <w:color w:val="FF0000"/>
          <w:sz w:val="24"/>
          <w:szCs w:val="24"/>
        </w:rPr>
      </w:pPr>
    </w:p>
    <w:p w14:paraId="7EBF57E2" w14:textId="7CF6B22D"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i/>
          <w:iCs/>
          <w:color w:val="000000" w:themeColor="text1"/>
          <w:sz w:val="24"/>
          <w:szCs w:val="24"/>
        </w:rPr>
        <w:t>Policy 39 – Hierarchy of Centres</w:t>
      </w:r>
    </w:p>
    <w:p w14:paraId="094820F0" w14:textId="567213B6" w:rsidR="006462AC" w:rsidRPr="00B60DB9" w:rsidRDefault="006462AC" w:rsidP="7F6A497F">
      <w:pPr>
        <w:spacing w:after="0" w:line="240" w:lineRule="auto"/>
        <w:ind w:left="907" w:hanging="907"/>
        <w:rPr>
          <w:rFonts w:ascii="Calibri" w:eastAsia="Calibri" w:hAnsi="Calibri" w:cs="Calibri"/>
          <w:color w:val="000000" w:themeColor="text1"/>
          <w:sz w:val="24"/>
          <w:szCs w:val="24"/>
        </w:rPr>
      </w:pPr>
    </w:p>
    <w:p w14:paraId="49380880" w14:textId="3B1D54D2"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t>Q97</w:t>
      </w:r>
      <w:r w:rsidR="006462AC">
        <w:tab/>
      </w:r>
      <w:r w:rsidRPr="7F6A497F">
        <w:rPr>
          <w:rFonts w:eastAsia="Verdana" w:cs="Verdana"/>
          <w:color w:val="000000" w:themeColor="text1"/>
          <w:sz w:val="24"/>
          <w:szCs w:val="24"/>
        </w:rPr>
        <w:t xml:space="preserve">What evidence justifies the designations of the town, district and neighbourhood centres and the local retail parades in Policy 39? </w:t>
      </w:r>
    </w:p>
    <w:p w14:paraId="1A458466" w14:textId="55B72587" w:rsidR="006462AC" w:rsidRPr="00B60DB9" w:rsidRDefault="006462AC" w:rsidP="7F6A497F">
      <w:pPr>
        <w:spacing w:after="0" w:line="240" w:lineRule="auto"/>
        <w:ind w:left="907" w:hanging="907"/>
        <w:rPr>
          <w:rFonts w:ascii="Calibri" w:eastAsia="Calibri" w:hAnsi="Calibri" w:cs="Calibri"/>
          <w:color w:val="000000" w:themeColor="text1"/>
          <w:sz w:val="24"/>
          <w:szCs w:val="24"/>
        </w:rPr>
      </w:pPr>
    </w:p>
    <w:p w14:paraId="0CE31374" w14:textId="7FC21A2D"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t xml:space="preserve">Q98 </w:t>
      </w:r>
      <w:r w:rsidR="006462AC">
        <w:tab/>
      </w:r>
      <w:r w:rsidRPr="7F6A497F">
        <w:rPr>
          <w:rFonts w:eastAsia="Verdana" w:cs="Verdana"/>
          <w:color w:val="000000" w:themeColor="text1"/>
          <w:sz w:val="24"/>
          <w:szCs w:val="24"/>
        </w:rPr>
        <w:t xml:space="preserve">Is Policy 39 in general conformity with the London Plan in restricting uses in District Centres to those that will complement Walthamstow Town Centre, having regard to connections between those centres?  </w:t>
      </w:r>
    </w:p>
    <w:p w14:paraId="16C0F253" w14:textId="36CE41E3" w:rsidR="006462AC" w:rsidRPr="00B60DB9" w:rsidRDefault="006462AC" w:rsidP="7F6A497F">
      <w:pPr>
        <w:spacing w:after="0" w:line="240" w:lineRule="auto"/>
        <w:ind w:left="907" w:hanging="907"/>
        <w:rPr>
          <w:rFonts w:eastAsia="Verdana" w:cs="Verdana"/>
          <w:color w:val="000000" w:themeColor="text1"/>
          <w:sz w:val="24"/>
          <w:szCs w:val="24"/>
        </w:rPr>
      </w:pPr>
    </w:p>
    <w:p w14:paraId="0E161124" w14:textId="37071DC2"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i/>
          <w:iCs/>
          <w:color w:val="000000" w:themeColor="text1"/>
          <w:sz w:val="24"/>
          <w:szCs w:val="24"/>
        </w:rPr>
        <w:t xml:space="preserve">Policy 40 – New Retail, </w:t>
      </w:r>
      <w:proofErr w:type="gramStart"/>
      <w:r w:rsidRPr="7F6A497F">
        <w:rPr>
          <w:rFonts w:eastAsia="Verdana" w:cs="Verdana"/>
          <w:i/>
          <w:iCs/>
          <w:color w:val="000000" w:themeColor="text1"/>
          <w:sz w:val="24"/>
          <w:szCs w:val="24"/>
        </w:rPr>
        <w:t>Office</w:t>
      </w:r>
      <w:proofErr w:type="gramEnd"/>
      <w:r w:rsidRPr="7F6A497F">
        <w:rPr>
          <w:rFonts w:eastAsia="Verdana" w:cs="Verdana"/>
          <w:i/>
          <w:iCs/>
          <w:color w:val="000000" w:themeColor="text1"/>
          <w:sz w:val="24"/>
          <w:szCs w:val="24"/>
        </w:rPr>
        <w:t xml:space="preserve"> and Leisure Developments</w:t>
      </w:r>
    </w:p>
    <w:p w14:paraId="504F234C" w14:textId="4103D105" w:rsidR="006462AC" w:rsidRPr="00B60DB9" w:rsidRDefault="006462AC" w:rsidP="7F6A497F">
      <w:pPr>
        <w:spacing w:after="0" w:line="240" w:lineRule="auto"/>
        <w:ind w:left="907" w:hanging="907"/>
        <w:rPr>
          <w:rFonts w:ascii="Calibri" w:eastAsia="Calibri" w:hAnsi="Calibri" w:cs="Calibri"/>
          <w:color w:val="000000" w:themeColor="text1"/>
          <w:sz w:val="24"/>
          <w:szCs w:val="24"/>
        </w:rPr>
      </w:pPr>
    </w:p>
    <w:p w14:paraId="12D678CF" w14:textId="54AEAE0C"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t>Q99</w:t>
      </w:r>
      <w:r w:rsidR="006462AC">
        <w:tab/>
      </w:r>
      <w:r w:rsidRPr="7F6A497F">
        <w:rPr>
          <w:rFonts w:eastAsia="Verdana" w:cs="Verdana"/>
          <w:color w:val="000000" w:themeColor="text1"/>
          <w:sz w:val="24"/>
          <w:szCs w:val="24"/>
        </w:rPr>
        <w:t>Is the 200sqm threshold for impact assessments in Policy 40 based on robust evidence? How would the need for a ‘broad brush’ statement of impact be defined?</w:t>
      </w:r>
    </w:p>
    <w:p w14:paraId="0E419D52" w14:textId="702D58AB" w:rsidR="006462AC" w:rsidRPr="00B60DB9" w:rsidRDefault="006462AC" w:rsidP="7F6A497F">
      <w:pPr>
        <w:spacing w:after="0" w:line="240" w:lineRule="auto"/>
        <w:ind w:left="907" w:hanging="907"/>
        <w:rPr>
          <w:rFonts w:ascii="Calibri" w:eastAsia="Calibri" w:hAnsi="Calibri" w:cs="Calibri"/>
          <w:color w:val="000000" w:themeColor="text1"/>
          <w:sz w:val="24"/>
          <w:szCs w:val="24"/>
        </w:rPr>
      </w:pPr>
    </w:p>
    <w:p w14:paraId="1C8FEB32" w14:textId="3ABA9212"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t>Q100</w:t>
      </w:r>
      <w:r w:rsidR="006462AC">
        <w:tab/>
      </w:r>
      <w:r w:rsidRPr="7F6A497F">
        <w:rPr>
          <w:rFonts w:eastAsia="Verdana" w:cs="Verdana"/>
          <w:color w:val="000000" w:themeColor="text1"/>
          <w:sz w:val="24"/>
          <w:szCs w:val="24"/>
        </w:rPr>
        <w:t>What implications, if any, does the Town and Country Planning (Use Classes) (Amendment) (England) Regulations 2020 (the Regulations), SI 2020/757 and changes to the General Permitted Development Order have for the Article 4 directions in place?</w:t>
      </w:r>
    </w:p>
    <w:p w14:paraId="2EA086F0" w14:textId="0D506E7E" w:rsidR="006462AC" w:rsidRPr="00B60DB9" w:rsidRDefault="006462AC" w:rsidP="7F6A497F">
      <w:pPr>
        <w:spacing w:after="0" w:line="240" w:lineRule="auto"/>
        <w:ind w:left="907" w:hanging="907"/>
        <w:rPr>
          <w:rFonts w:ascii="Calibri" w:eastAsia="Calibri" w:hAnsi="Calibri" w:cs="Calibri"/>
          <w:color w:val="000000" w:themeColor="text1"/>
          <w:sz w:val="24"/>
          <w:szCs w:val="24"/>
        </w:rPr>
      </w:pPr>
    </w:p>
    <w:p w14:paraId="25750168" w14:textId="006362D2"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i/>
          <w:iCs/>
          <w:color w:val="000000" w:themeColor="text1"/>
          <w:sz w:val="24"/>
          <w:szCs w:val="24"/>
        </w:rPr>
        <w:t>Policy 42 – Managing Changes of Use in Primary Shopping Areas</w:t>
      </w:r>
    </w:p>
    <w:p w14:paraId="5A675D98" w14:textId="096DEC4C" w:rsidR="006462AC" w:rsidRPr="00B60DB9" w:rsidRDefault="006462AC" w:rsidP="7F6A497F">
      <w:pPr>
        <w:spacing w:after="0" w:line="240" w:lineRule="auto"/>
        <w:ind w:left="907" w:hanging="907"/>
        <w:rPr>
          <w:rFonts w:ascii="Calibri" w:eastAsia="Calibri" w:hAnsi="Calibri" w:cs="Calibri"/>
          <w:color w:val="000000" w:themeColor="text1"/>
          <w:sz w:val="24"/>
          <w:szCs w:val="24"/>
        </w:rPr>
      </w:pPr>
    </w:p>
    <w:p w14:paraId="4BF98007" w14:textId="026F3719"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t>Q101</w:t>
      </w:r>
      <w:r w:rsidR="006462AC">
        <w:tab/>
      </w:r>
      <w:r w:rsidRPr="7F6A497F">
        <w:rPr>
          <w:rFonts w:eastAsia="Verdana" w:cs="Verdana"/>
          <w:color w:val="000000" w:themeColor="text1"/>
          <w:sz w:val="24"/>
          <w:szCs w:val="24"/>
        </w:rPr>
        <w:t>Is it clear what is meant by ‘other uses’ and would they be permitted in the primary shopping area as well as within the town centre boundary?</w:t>
      </w:r>
    </w:p>
    <w:p w14:paraId="0A7A11E6" w14:textId="567AD513" w:rsidR="006462AC" w:rsidRPr="00B60DB9" w:rsidRDefault="006462AC" w:rsidP="315BA30B">
      <w:pPr>
        <w:spacing w:after="0" w:line="240" w:lineRule="auto"/>
        <w:ind w:left="907" w:hanging="907"/>
        <w:rPr>
          <w:rFonts w:ascii="Calibri" w:eastAsia="Calibri" w:hAnsi="Calibri" w:cs="Calibri"/>
          <w:color w:val="FF0000"/>
          <w:sz w:val="24"/>
          <w:szCs w:val="24"/>
        </w:rPr>
      </w:pPr>
    </w:p>
    <w:p w14:paraId="04C4197E" w14:textId="7836E640"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i/>
          <w:iCs/>
          <w:color w:val="000000" w:themeColor="text1"/>
          <w:sz w:val="24"/>
          <w:szCs w:val="24"/>
        </w:rPr>
        <w:t>Policy 46 – Evening and Night-time Economy Uses</w:t>
      </w:r>
    </w:p>
    <w:p w14:paraId="6F983495" w14:textId="6F1E2607" w:rsidR="006462AC" w:rsidRPr="00B60DB9" w:rsidRDefault="006462AC" w:rsidP="7F6A497F">
      <w:pPr>
        <w:spacing w:after="0" w:line="240" w:lineRule="auto"/>
        <w:ind w:left="907" w:hanging="907"/>
        <w:rPr>
          <w:rFonts w:ascii="Calibri" w:eastAsia="Calibri" w:hAnsi="Calibri" w:cs="Calibri"/>
          <w:color w:val="000000" w:themeColor="text1"/>
          <w:sz w:val="24"/>
          <w:szCs w:val="24"/>
        </w:rPr>
      </w:pPr>
    </w:p>
    <w:p w14:paraId="1CD946B6" w14:textId="52F6E2EC" w:rsidR="006462AC" w:rsidRPr="00B60DB9" w:rsidRDefault="7F6A497F" w:rsidP="315BA30B">
      <w:pPr>
        <w:spacing w:after="0" w:line="240" w:lineRule="auto"/>
        <w:ind w:left="907" w:hanging="907"/>
        <w:rPr>
          <w:rFonts w:eastAsia="Verdana" w:cs="Verdana"/>
          <w:color w:val="000000" w:themeColor="text1"/>
          <w:sz w:val="24"/>
          <w:szCs w:val="24"/>
        </w:rPr>
      </w:pPr>
      <w:r w:rsidRPr="315BA30B">
        <w:rPr>
          <w:rFonts w:eastAsia="Verdana" w:cs="Verdana"/>
          <w:color w:val="000000" w:themeColor="text1"/>
          <w:sz w:val="24"/>
          <w:szCs w:val="24"/>
        </w:rPr>
        <w:t>Q102</w:t>
      </w:r>
      <w:r w:rsidR="006462AC">
        <w:tab/>
      </w:r>
      <w:r w:rsidRPr="315BA30B">
        <w:rPr>
          <w:rFonts w:eastAsia="Verdana" w:cs="Verdana"/>
          <w:color w:val="000000" w:themeColor="text1"/>
          <w:sz w:val="24"/>
          <w:szCs w:val="24"/>
        </w:rPr>
        <w:t xml:space="preserve">Does Policy 46 set out a robust approach to dealing with proposals for evening and night-time uses?  How would potential conflicts with adjoining uses be addressed, for example residential?  </w:t>
      </w:r>
    </w:p>
    <w:p w14:paraId="0A9F8457" w14:textId="5E336E5C" w:rsidR="006462AC" w:rsidRPr="00B60DB9" w:rsidRDefault="006462AC" w:rsidP="315BA30B">
      <w:pPr>
        <w:spacing w:after="0" w:line="240" w:lineRule="auto"/>
        <w:ind w:left="907" w:hanging="907"/>
        <w:rPr>
          <w:rFonts w:eastAsia="Verdana" w:cs="Verdana"/>
          <w:color w:val="000000" w:themeColor="text1"/>
          <w:sz w:val="24"/>
          <w:szCs w:val="24"/>
        </w:rPr>
      </w:pPr>
    </w:p>
    <w:p w14:paraId="06E6EB57" w14:textId="74AB3605"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t>Q103</w:t>
      </w:r>
      <w:r w:rsidR="006462AC">
        <w:tab/>
      </w:r>
      <w:r w:rsidRPr="7F6A497F">
        <w:rPr>
          <w:rFonts w:eastAsia="Verdana" w:cs="Verdana"/>
          <w:color w:val="000000" w:themeColor="text1"/>
          <w:sz w:val="24"/>
          <w:szCs w:val="24"/>
        </w:rPr>
        <w:t xml:space="preserve">Overall, does the Plan set out a positively prepared, justified, and effective strategy for the vitality and viability of the Borough’s centres and local retail parades?  </w:t>
      </w:r>
    </w:p>
    <w:p w14:paraId="42F09D1D" w14:textId="47CC8191" w:rsidR="006462AC" w:rsidRPr="00B60DB9" w:rsidRDefault="006462AC" w:rsidP="7F6A497F">
      <w:pPr>
        <w:spacing w:after="0" w:line="240" w:lineRule="auto"/>
        <w:ind w:left="907" w:hanging="907"/>
        <w:rPr>
          <w:rFonts w:eastAsia="Verdana" w:cs="Verdana"/>
          <w:color w:val="000000" w:themeColor="text1"/>
          <w:sz w:val="24"/>
          <w:szCs w:val="24"/>
        </w:rPr>
      </w:pPr>
    </w:p>
    <w:p w14:paraId="539009D6" w14:textId="30551DC1" w:rsidR="006462AC" w:rsidRPr="00B60DB9" w:rsidRDefault="7F6A497F" w:rsidP="7F6A497F">
      <w:pPr>
        <w:spacing w:after="0" w:line="240" w:lineRule="auto"/>
        <w:ind w:left="907" w:hanging="907"/>
        <w:rPr>
          <w:rFonts w:eastAsia="Verdana" w:cs="Verdana"/>
          <w:color w:val="000000" w:themeColor="text1"/>
          <w:sz w:val="24"/>
          <w:szCs w:val="24"/>
        </w:rPr>
      </w:pPr>
      <w:r w:rsidRPr="7F6A497F">
        <w:rPr>
          <w:rFonts w:eastAsia="Verdana" w:cs="Verdana"/>
          <w:color w:val="000000" w:themeColor="text1"/>
          <w:sz w:val="24"/>
          <w:szCs w:val="24"/>
        </w:rPr>
        <w:t>Q104</w:t>
      </w:r>
      <w:r w:rsidR="006462AC">
        <w:tab/>
      </w:r>
      <w:r w:rsidRPr="7F6A497F">
        <w:rPr>
          <w:rFonts w:eastAsia="Verdana" w:cs="Verdana"/>
          <w:color w:val="000000" w:themeColor="text1"/>
          <w:sz w:val="24"/>
          <w:szCs w:val="24"/>
        </w:rPr>
        <w:t>Are any main modifications necessary for soundness?</w:t>
      </w:r>
    </w:p>
    <w:p w14:paraId="72744E29" w14:textId="583CF9C0" w:rsidR="006462AC" w:rsidRPr="00B60DB9" w:rsidRDefault="006462AC" w:rsidP="7F6A497F">
      <w:pPr>
        <w:spacing w:after="0" w:line="240" w:lineRule="auto"/>
        <w:ind w:left="907" w:hanging="907"/>
        <w:rPr>
          <w:rFonts w:eastAsia="Verdana" w:cs="Verdana"/>
          <w:color w:val="FF0000"/>
        </w:rPr>
      </w:pPr>
    </w:p>
    <w:p w14:paraId="68A68904" w14:textId="49635F67" w:rsidR="006462AC" w:rsidRPr="00B60DB9" w:rsidRDefault="006462AC" w:rsidP="7F6A497F">
      <w:pPr>
        <w:spacing w:after="0" w:line="240" w:lineRule="auto"/>
        <w:ind w:left="907" w:hanging="907"/>
        <w:rPr>
          <w:rFonts w:eastAsia="Verdana" w:cs="Verdana"/>
          <w:color w:val="000000" w:themeColor="text1"/>
          <w:sz w:val="24"/>
          <w:szCs w:val="24"/>
        </w:rPr>
      </w:pPr>
    </w:p>
    <w:p w14:paraId="03F81DE8" w14:textId="009E020D" w:rsidR="006462AC" w:rsidRPr="00B60DB9" w:rsidRDefault="006462AC" w:rsidP="7F6A497F">
      <w:pPr>
        <w:spacing w:after="0"/>
        <w:rPr>
          <w:b/>
          <w:bCs/>
          <w:sz w:val="20"/>
          <w:szCs w:val="20"/>
          <w:u w:val="single"/>
        </w:rPr>
      </w:pPr>
    </w:p>
    <w:sectPr w:rsidR="006462AC" w:rsidRPr="00B60DB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F00D" w14:textId="77777777" w:rsidR="00294E9A" w:rsidRDefault="00294E9A" w:rsidP="00DB100C">
      <w:pPr>
        <w:spacing w:after="0" w:line="240" w:lineRule="auto"/>
      </w:pPr>
      <w:r>
        <w:separator/>
      </w:r>
    </w:p>
  </w:endnote>
  <w:endnote w:type="continuationSeparator" w:id="0">
    <w:p w14:paraId="35487696" w14:textId="77777777" w:rsidR="00294E9A" w:rsidRDefault="00294E9A" w:rsidP="00DB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23A" w14:textId="77777777" w:rsidR="00FE1442" w:rsidRDefault="00FE1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519976"/>
      <w:docPartObj>
        <w:docPartGallery w:val="Page Numbers (Bottom of Page)"/>
        <w:docPartUnique/>
      </w:docPartObj>
    </w:sdtPr>
    <w:sdtEndPr>
      <w:rPr>
        <w:noProof/>
      </w:rPr>
    </w:sdtEndPr>
    <w:sdtContent>
      <w:p w14:paraId="4BE9E23B" w14:textId="77777777" w:rsidR="00D140CE" w:rsidRDefault="00D140CE">
        <w:pPr>
          <w:pStyle w:val="Footer"/>
          <w:jc w:val="center"/>
        </w:pPr>
        <w:r>
          <w:fldChar w:fldCharType="begin"/>
        </w:r>
        <w:r>
          <w:instrText xml:space="preserve"> PAGE   \* MERGEFORMAT </w:instrText>
        </w:r>
        <w:r>
          <w:fldChar w:fldCharType="separate"/>
        </w:r>
        <w:r w:rsidR="00067DDB">
          <w:rPr>
            <w:noProof/>
          </w:rPr>
          <w:t>1</w:t>
        </w:r>
        <w:r>
          <w:rPr>
            <w:noProof/>
          </w:rPr>
          <w:fldChar w:fldCharType="end"/>
        </w:r>
      </w:p>
    </w:sdtContent>
  </w:sdt>
  <w:p w14:paraId="4BE9E23C" w14:textId="77777777" w:rsidR="00DB100C" w:rsidRDefault="00DB1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23E" w14:textId="77777777" w:rsidR="00FE1442" w:rsidRDefault="00FE1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B9B0" w14:textId="77777777" w:rsidR="00294E9A" w:rsidRDefault="00294E9A" w:rsidP="00DB100C">
      <w:pPr>
        <w:spacing w:after="0" w:line="240" w:lineRule="auto"/>
      </w:pPr>
      <w:r>
        <w:separator/>
      </w:r>
    </w:p>
  </w:footnote>
  <w:footnote w:type="continuationSeparator" w:id="0">
    <w:p w14:paraId="5DC2A126" w14:textId="77777777" w:rsidR="00294E9A" w:rsidRDefault="00294E9A" w:rsidP="00DB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238" w14:textId="77777777" w:rsidR="00FE1442" w:rsidRDefault="00FE1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239" w14:textId="77777777" w:rsidR="00FE1442" w:rsidRDefault="00FE1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23D" w14:textId="77777777" w:rsidR="00FE1442" w:rsidRDefault="00FE1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5E6"/>
    <w:multiLevelType w:val="hybridMultilevel"/>
    <w:tmpl w:val="B4F46E74"/>
    <w:lvl w:ilvl="0" w:tplc="45F2C8F6">
      <w:start w:val="3"/>
      <w:numFmt w:val="decimal"/>
      <w:lvlText w:val="Q%1."/>
      <w:lvlJc w:val="left"/>
      <w:pPr>
        <w:ind w:left="717" w:hanging="360"/>
      </w:pPr>
      <w:rPr>
        <w:rFonts w:ascii="Verdana" w:hAnsi="Verdana" w:hint="default"/>
        <w:b w:val="0"/>
        <w:i/>
        <w:sz w:val="22"/>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1" w15:restartNumberingAfterBreak="0">
    <w:nsid w:val="013A350E"/>
    <w:multiLevelType w:val="hybridMultilevel"/>
    <w:tmpl w:val="2124EBA0"/>
    <w:lvl w:ilvl="0" w:tplc="1E5636F6">
      <w:start w:val="1"/>
      <w:numFmt w:val="bullet"/>
      <w:lvlText w:val=""/>
      <w:lvlJc w:val="left"/>
      <w:pPr>
        <w:ind w:left="720" w:hanging="360"/>
      </w:pPr>
      <w:rPr>
        <w:rFonts w:ascii="Symbol" w:hAnsi="Symbol" w:hint="default"/>
      </w:rPr>
    </w:lvl>
    <w:lvl w:ilvl="1" w:tplc="091CD5FA">
      <w:start w:val="1"/>
      <w:numFmt w:val="bullet"/>
      <w:lvlText w:val="o"/>
      <w:lvlJc w:val="left"/>
      <w:pPr>
        <w:ind w:left="1440" w:hanging="360"/>
      </w:pPr>
      <w:rPr>
        <w:rFonts w:ascii="Courier New" w:hAnsi="Courier New" w:hint="default"/>
      </w:rPr>
    </w:lvl>
    <w:lvl w:ilvl="2" w:tplc="7600543A">
      <w:start w:val="1"/>
      <w:numFmt w:val="bullet"/>
      <w:lvlText w:val=""/>
      <w:lvlJc w:val="left"/>
      <w:pPr>
        <w:ind w:left="2160" w:hanging="360"/>
      </w:pPr>
      <w:rPr>
        <w:rFonts w:ascii="Wingdings" w:hAnsi="Wingdings" w:hint="default"/>
      </w:rPr>
    </w:lvl>
    <w:lvl w:ilvl="3" w:tplc="BE80CBEE">
      <w:start w:val="1"/>
      <w:numFmt w:val="bullet"/>
      <w:lvlText w:val=""/>
      <w:lvlJc w:val="left"/>
      <w:pPr>
        <w:ind w:left="2880" w:hanging="360"/>
      </w:pPr>
      <w:rPr>
        <w:rFonts w:ascii="Symbol" w:hAnsi="Symbol" w:hint="default"/>
      </w:rPr>
    </w:lvl>
    <w:lvl w:ilvl="4" w:tplc="F2961128">
      <w:start w:val="1"/>
      <w:numFmt w:val="bullet"/>
      <w:lvlText w:val="o"/>
      <w:lvlJc w:val="left"/>
      <w:pPr>
        <w:ind w:left="3600" w:hanging="360"/>
      </w:pPr>
      <w:rPr>
        <w:rFonts w:ascii="Courier New" w:hAnsi="Courier New" w:hint="default"/>
      </w:rPr>
    </w:lvl>
    <w:lvl w:ilvl="5" w:tplc="94EA4500">
      <w:start w:val="1"/>
      <w:numFmt w:val="bullet"/>
      <w:lvlText w:val=""/>
      <w:lvlJc w:val="left"/>
      <w:pPr>
        <w:ind w:left="4320" w:hanging="360"/>
      </w:pPr>
      <w:rPr>
        <w:rFonts w:ascii="Wingdings" w:hAnsi="Wingdings" w:hint="default"/>
      </w:rPr>
    </w:lvl>
    <w:lvl w:ilvl="6" w:tplc="640C79DA">
      <w:start w:val="1"/>
      <w:numFmt w:val="bullet"/>
      <w:lvlText w:val=""/>
      <w:lvlJc w:val="left"/>
      <w:pPr>
        <w:ind w:left="5040" w:hanging="360"/>
      </w:pPr>
      <w:rPr>
        <w:rFonts w:ascii="Symbol" w:hAnsi="Symbol" w:hint="default"/>
      </w:rPr>
    </w:lvl>
    <w:lvl w:ilvl="7" w:tplc="36802DF0">
      <w:start w:val="1"/>
      <w:numFmt w:val="bullet"/>
      <w:lvlText w:val="o"/>
      <w:lvlJc w:val="left"/>
      <w:pPr>
        <w:ind w:left="5760" w:hanging="360"/>
      </w:pPr>
      <w:rPr>
        <w:rFonts w:ascii="Courier New" w:hAnsi="Courier New" w:hint="default"/>
      </w:rPr>
    </w:lvl>
    <w:lvl w:ilvl="8" w:tplc="BE6A620E">
      <w:start w:val="1"/>
      <w:numFmt w:val="bullet"/>
      <w:lvlText w:val=""/>
      <w:lvlJc w:val="left"/>
      <w:pPr>
        <w:ind w:left="6480" w:hanging="360"/>
      </w:pPr>
      <w:rPr>
        <w:rFonts w:ascii="Wingdings" w:hAnsi="Wingdings" w:hint="default"/>
      </w:rPr>
    </w:lvl>
  </w:abstractNum>
  <w:abstractNum w:abstractNumId="2" w15:restartNumberingAfterBreak="0">
    <w:nsid w:val="04126257"/>
    <w:multiLevelType w:val="hybridMultilevel"/>
    <w:tmpl w:val="E0861EB8"/>
    <w:lvl w:ilvl="0" w:tplc="602CE99C">
      <w:start w:val="1"/>
      <w:numFmt w:val="decimal"/>
      <w:lvlText w:val="Q%1."/>
      <w:lvlJc w:val="left"/>
      <w:pPr>
        <w:ind w:left="720" w:hanging="360"/>
      </w:pPr>
      <w:rPr>
        <w:rFonts w:ascii="Verdana" w:hAnsi="Verdana"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54315"/>
    <w:multiLevelType w:val="hybridMultilevel"/>
    <w:tmpl w:val="4996688E"/>
    <w:lvl w:ilvl="0" w:tplc="602CE99C">
      <w:start w:val="1"/>
      <w:numFmt w:val="decimal"/>
      <w:lvlText w:val="Q%1."/>
      <w:lvlJc w:val="left"/>
      <w:pPr>
        <w:ind w:left="1080" w:hanging="360"/>
      </w:pPr>
      <w:rPr>
        <w:rFonts w:ascii="Verdana" w:hAnsi="Verdana" w:hint="default"/>
        <w:b w:val="0"/>
        <w:i/>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2F6691"/>
    <w:multiLevelType w:val="hybridMultilevel"/>
    <w:tmpl w:val="B44088FA"/>
    <w:lvl w:ilvl="0" w:tplc="602CE99C">
      <w:start w:val="1"/>
      <w:numFmt w:val="decimal"/>
      <w:lvlText w:val="Q%1."/>
      <w:lvlJc w:val="left"/>
      <w:pPr>
        <w:ind w:left="1080" w:hanging="360"/>
      </w:pPr>
      <w:rPr>
        <w:rFonts w:ascii="Verdana" w:hAnsi="Verdana" w:hint="default"/>
        <w:b w:val="0"/>
        <w:i/>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580460"/>
    <w:multiLevelType w:val="hybridMultilevel"/>
    <w:tmpl w:val="AA88BE62"/>
    <w:lvl w:ilvl="0" w:tplc="DECCFA1C">
      <w:start w:val="1"/>
      <w:numFmt w:val="upp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6" w15:restartNumberingAfterBreak="0">
    <w:nsid w:val="135B2E08"/>
    <w:multiLevelType w:val="hybridMultilevel"/>
    <w:tmpl w:val="6FFA38BA"/>
    <w:lvl w:ilvl="0" w:tplc="A38CD658">
      <w:start w:val="1"/>
      <w:numFmt w:val="decimal"/>
      <w:lvlText w:val="Q%1."/>
      <w:lvlJc w:val="left"/>
      <w:pPr>
        <w:ind w:left="0" w:hanging="360"/>
      </w:pPr>
      <w:rPr>
        <w:rFonts w:ascii="Verdana" w:hAnsi="Verdana" w:hint="default"/>
        <w:b w:val="0"/>
        <w:i w:val="0"/>
        <w:sz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1DE0456C"/>
    <w:multiLevelType w:val="hybridMultilevel"/>
    <w:tmpl w:val="F9B08030"/>
    <w:lvl w:ilvl="0" w:tplc="FE9E8106">
      <w:start w:val="5"/>
      <w:numFmt w:val="decimal"/>
      <w:lvlText w:val="Q%1."/>
      <w:lvlJc w:val="left"/>
      <w:pPr>
        <w:ind w:left="1080" w:hanging="360"/>
      </w:pPr>
      <w:rPr>
        <w:rFonts w:ascii="Verdana" w:hAnsi="Verdana"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4615DB"/>
    <w:multiLevelType w:val="hybridMultilevel"/>
    <w:tmpl w:val="568464EC"/>
    <w:lvl w:ilvl="0" w:tplc="18DC1BFE">
      <w:start w:val="1"/>
      <w:numFmt w:val="bullet"/>
      <w:lvlText w:val=""/>
      <w:lvlJc w:val="left"/>
      <w:pPr>
        <w:ind w:left="720" w:hanging="360"/>
      </w:pPr>
      <w:rPr>
        <w:rFonts w:ascii="Symbol" w:hAnsi="Symbol" w:hint="default"/>
      </w:rPr>
    </w:lvl>
    <w:lvl w:ilvl="1" w:tplc="51128CD2">
      <w:start w:val="1"/>
      <w:numFmt w:val="bullet"/>
      <w:lvlText w:val="o"/>
      <w:lvlJc w:val="left"/>
      <w:pPr>
        <w:ind w:left="1440" w:hanging="360"/>
      </w:pPr>
      <w:rPr>
        <w:rFonts w:ascii="Courier New" w:hAnsi="Courier New" w:hint="default"/>
      </w:rPr>
    </w:lvl>
    <w:lvl w:ilvl="2" w:tplc="C7186032">
      <w:start w:val="1"/>
      <w:numFmt w:val="bullet"/>
      <w:lvlText w:val=""/>
      <w:lvlJc w:val="left"/>
      <w:pPr>
        <w:ind w:left="2160" w:hanging="360"/>
      </w:pPr>
      <w:rPr>
        <w:rFonts w:ascii="Wingdings" w:hAnsi="Wingdings" w:hint="default"/>
      </w:rPr>
    </w:lvl>
    <w:lvl w:ilvl="3" w:tplc="BE28899E">
      <w:start w:val="1"/>
      <w:numFmt w:val="bullet"/>
      <w:lvlText w:val=""/>
      <w:lvlJc w:val="left"/>
      <w:pPr>
        <w:ind w:left="2880" w:hanging="360"/>
      </w:pPr>
      <w:rPr>
        <w:rFonts w:ascii="Symbol" w:hAnsi="Symbol" w:hint="default"/>
      </w:rPr>
    </w:lvl>
    <w:lvl w:ilvl="4" w:tplc="0C2AFE96">
      <w:start w:val="1"/>
      <w:numFmt w:val="bullet"/>
      <w:lvlText w:val="o"/>
      <w:lvlJc w:val="left"/>
      <w:pPr>
        <w:ind w:left="3600" w:hanging="360"/>
      </w:pPr>
      <w:rPr>
        <w:rFonts w:ascii="Courier New" w:hAnsi="Courier New" w:hint="default"/>
      </w:rPr>
    </w:lvl>
    <w:lvl w:ilvl="5" w:tplc="5DA05A0A">
      <w:start w:val="1"/>
      <w:numFmt w:val="bullet"/>
      <w:lvlText w:val=""/>
      <w:lvlJc w:val="left"/>
      <w:pPr>
        <w:ind w:left="4320" w:hanging="360"/>
      </w:pPr>
      <w:rPr>
        <w:rFonts w:ascii="Wingdings" w:hAnsi="Wingdings" w:hint="default"/>
      </w:rPr>
    </w:lvl>
    <w:lvl w:ilvl="6" w:tplc="A1F6DEA4">
      <w:start w:val="1"/>
      <w:numFmt w:val="bullet"/>
      <w:lvlText w:val=""/>
      <w:lvlJc w:val="left"/>
      <w:pPr>
        <w:ind w:left="5040" w:hanging="360"/>
      </w:pPr>
      <w:rPr>
        <w:rFonts w:ascii="Symbol" w:hAnsi="Symbol" w:hint="default"/>
      </w:rPr>
    </w:lvl>
    <w:lvl w:ilvl="7" w:tplc="B3AAF242">
      <w:start w:val="1"/>
      <w:numFmt w:val="bullet"/>
      <w:lvlText w:val="o"/>
      <w:lvlJc w:val="left"/>
      <w:pPr>
        <w:ind w:left="5760" w:hanging="360"/>
      </w:pPr>
      <w:rPr>
        <w:rFonts w:ascii="Courier New" w:hAnsi="Courier New" w:hint="default"/>
      </w:rPr>
    </w:lvl>
    <w:lvl w:ilvl="8" w:tplc="671C2AEE">
      <w:start w:val="1"/>
      <w:numFmt w:val="bullet"/>
      <w:lvlText w:val=""/>
      <w:lvlJc w:val="left"/>
      <w:pPr>
        <w:ind w:left="6480" w:hanging="360"/>
      </w:pPr>
      <w:rPr>
        <w:rFonts w:ascii="Wingdings" w:hAnsi="Wingdings" w:hint="default"/>
      </w:rPr>
    </w:lvl>
  </w:abstractNum>
  <w:abstractNum w:abstractNumId="9" w15:restartNumberingAfterBreak="0">
    <w:nsid w:val="2BF356C6"/>
    <w:multiLevelType w:val="hybridMultilevel"/>
    <w:tmpl w:val="CC80F198"/>
    <w:lvl w:ilvl="0" w:tplc="BD7231DE">
      <w:start w:val="1"/>
      <w:numFmt w:val="decimal"/>
      <w:lvlText w:val="AQ%1."/>
      <w:lvlJc w:val="left"/>
      <w:pPr>
        <w:ind w:left="1060" w:hanging="360"/>
      </w:pPr>
      <w:rPr>
        <w:rFonts w:ascii="Verdana" w:hAnsi="Verdana" w:hint="default"/>
        <w:b w:val="0"/>
        <w:i/>
        <w:sz w:val="22"/>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0" w15:restartNumberingAfterBreak="0">
    <w:nsid w:val="30527335"/>
    <w:multiLevelType w:val="hybridMultilevel"/>
    <w:tmpl w:val="4996688E"/>
    <w:lvl w:ilvl="0" w:tplc="602CE99C">
      <w:start w:val="1"/>
      <w:numFmt w:val="decimal"/>
      <w:lvlText w:val="Q%1."/>
      <w:lvlJc w:val="left"/>
      <w:pPr>
        <w:ind w:left="1080" w:hanging="360"/>
      </w:pPr>
      <w:rPr>
        <w:rFonts w:ascii="Verdana" w:hAnsi="Verdana" w:hint="default"/>
        <w:b w:val="0"/>
        <w:i/>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590141"/>
    <w:multiLevelType w:val="hybridMultilevel"/>
    <w:tmpl w:val="D34812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C77991"/>
    <w:multiLevelType w:val="hybridMultilevel"/>
    <w:tmpl w:val="8070D3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D1CC1"/>
    <w:multiLevelType w:val="hybridMultilevel"/>
    <w:tmpl w:val="B2B8ECF4"/>
    <w:lvl w:ilvl="0" w:tplc="F2D0CFD4">
      <w:start w:val="1"/>
      <w:numFmt w:val="lowerRoman"/>
      <w:lvlText w:val="%1."/>
      <w:lvlJc w:val="right"/>
      <w:pPr>
        <w:ind w:left="720" w:hanging="360"/>
      </w:pPr>
    </w:lvl>
    <w:lvl w:ilvl="1" w:tplc="96A475A2">
      <w:start w:val="1"/>
      <w:numFmt w:val="lowerLetter"/>
      <w:lvlText w:val="%2."/>
      <w:lvlJc w:val="left"/>
      <w:pPr>
        <w:ind w:left="1440" w:hanging="360"/>
      </w:pPr>
    </w:lvl>
    <w:lvl w:ilvl="2" w:tplc="49BAD294">
      <w:start w:val="1"/>
      <w:numFmt w:val="lowerRoman"/>
      <w:lvlText w:val="%3."/>
      <w:lvlJc w:val="right"/>
      <w:pPr>
        <w:ind w:left="2160" w:hanging="180"/>
      </w:pPr>
    </w:lvl>
    <w:lvl w:ilvl="3" w:tplc="08224876">
      <w:start w:val="1"/>
      <w:numFmt w:val="decimal"/>
      <w:lvlText w:val="%4."/>
      <w:lvlJc w:val="left"/>
      <w:pPr>
        <w:ind w:left="2880" w:hanging="360"/>
      </w:pPr>
    </w:lvl>
    <w:lvl w:ilvl="4" w:tplc="5E1E2730">
      <w:start w:val="1"/>
      <w:numFmt w:val="lowerLetter"/>
      <w:lvlText w:val="%5."/>
      <w:lvlJc w:val="left"/>
      <w:pPr>
        <w:ind w:left="3600" w:hanging="360"/>
      </w:pPr>
    </w:lvl>
    <w:lvl w:ilvl="5" w:tplc="CAF8007E">
      <w:start w:val="1"/>
      <w:numFmt w:val="lowerRoman"/>
      <w:lvlText w:val="%6."/>
      <w:lvlJc w:val="right"/>
      <w:pPr>
        <w:ind w:left="4320" w:hanging="180"/>
      </w:pPr>
    </w:lvl>
    <w:lvl w:ilvl="6" w:tplc="58DECDF8">
      <w:start w:val="1"/>
      <w:numFmt w:val="decimal"/>
      <w:lvlText w:val="%7."/>
      <w:lvlJc w:val="left"/>
      <w:pPr>
        <w:ind w:left="5040" w:hanging="360"/>
      </w:pPr>
    </w:lvl>
    <w:lvl w:ilvl="7" w:tplc="39887ECC">
      <w:start w:val="1"/>
      <w:numFmt w:val="lowerLetter"/>
      <w:lvlText w:val="%8."/>
      <w:lvlJc w:val="left"/>
      <w:pPr>
        <w:ind w:left="5760" w:hanging="360"/>
      </w:pPr>
    </w:lvl>
    <w:lvl w:ilvl="8" w:tplc="ECD0ADB8">
      <w:start w:val="1"/>
      <w:numFmt w:val="lowerRoman"/>
      <w:lvlText w:val="%9."/>
      <w:lvlJc w:val="right"/>
      <w:pPr>
        <w:ind w:left="6480" w:hanging="180"/>
      </w:pPr>
    </w:lvl>
  </w:abstractNum>
  <w:abstractNum w:abstractNumId="14" w15:restartNumberingAfterBreak="0">
    <w:nsid w:val="3B962E52"/>
    <w:multiLevelType w:val="hybridMultilevel"/>
    <w:tmpl w:val="6E820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EA2A4D"/>
    <w:multiLevelType w:val="hybridMultilevel"/>
    <w:tmpl w:val="FCB4378C"/>
    <w:lvl w:ilvl="0" w:tplc="699280FE">
      <w:start w:val="1"/>
      <w:numFmt w:val="lowerRoman"/>
      <w:lvlText w:val="%1."/>
      <w:lvlJc w:val="right"/>
      <w:pPr>
        <w:ind w:left="720" w:hanging="360"/>
      </w:pPr>
    </w:lvl>
    <w:lvl w:ilvl="1" w:tplc="1BE8E588">
      <w:start w:val="1"/>
      <w:numFmt w:val="lowerLetter"/>
      <w:lvlText w:val="%2."/>
      <w:lvlJc w:val="left"/>
      <w:pPr>
        <w:ind w:left="1440" w:hanging="360"/>
      </w:pPr>
    </w:lvl>
    <w:lvl w:ilvl="2" w:tplc="51488BF0">
      <w:start w:val="1"/>
      <w:numFmt w:val="lowerRoman"/>
      <w:lvlText w:val="%3."/>
      <w:lvlJc w:val="right"/>
      <w:pPr>
        <w:ind w:left="2160" w:hanging="180"/>
      </w:pPr>
    </w:lvl>
    <w:lvl w:ilvl="3" w:tplc="DFE8812E">
      <w:start w:val="1"/>
      <w:numFmt w:val="decimal"/>
      <w:lvlText w:val="%4."/>
      <w:lvlJc w:val="left"/>
      <w:pPr>
        <w:ind w:left="2880" w:hanging="360"/>
      </w:pPr>
    </w:lvl>
    <w:lvl w:ilvl="4" w:tplc="3AB46D04">
      <w:start w:val="1"/>
      <w:numFmt w:val="lowerLetter"/>
      <w:lvlText w:val="%5."/>
      <w:lvlJc w:val="left"/>
      <w:pPr>
        <w:ind w:left="3600" w:hanging="360"/>
      </w:pPr>
    </w:lvl>
    <w:lvl w:ilvl="5" w:tplc="C1AEC35C">
      <w:start w:val="1"/>
      <w:numFmt w:val="lowerRoman"/>
      <w:lvlText w:val="%6."/>
      <w:lvlJc w:val="right"/>
      <w:pPr>
        <w:ind w:left="4320" w:hanging="180"/>
      </w:pPr>
    </w:lvl>
    <w:lvl w:ilvl="6" w:tplc="526C8372">
      <w:start w:val="1"/>
      <w:numFmt w:val="decimal"/>
      <w:lvlText w:val="%7."/>
      <w:lvlJc w:val="left"/>
      <w:pPr>
        <w:ind w:left="5040" w:hanging="360"/>
      </w:pPr>
    </w:lvl>
    <w:lvl w:ilvl="7" w:tplc="3B942C86">
      <w:start w:val="1"/>
      <w:numFmt w:val="lowerLetter"/>
      <w:lvlText w:val="%8."/>
      <w:lvlJc w:val="left"/>
      <w:pPr>
        <w:ind w:left="5760" w:hanging="360"/>
      </w:pPr>
    </w:lvl>
    <w:lvl w:ilvl="8" w:tplc="9372EB5A">
      <w:start w:val="1"/>
      <w:numFmt w:val="lowerRoman"/>
      <w:lvlText w:val="%9."/>
      <w:lvlJc w:val="right"/>
      <w:pPr>
        <w:ind w:left="6480" w:hanging="180"/>
      </w:pPr>
    </w:lvl>
  </w:abstractNum>
  <w:abstractNum w:abstractNumId="16" w15:restartNumberingAfterBreak="0">
    <w:nsid w:val="56FC3C6B"/>
    <w:multiLevelType w:val="hybridMultilevel"/>
    <w:tmpl w:val="3AC61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154BFE"/>
    <w:multiLevelType w:val="hybridMultilevel"/>
    <w:tmpl w:val="42F04826"/>
    <w:lvl w:ilvl="0" w:tplc="602CE99C">
      <w:start w:val="1"/>
      <w:numFmt w:val="decimal"/>
      <w:lvlText w:val="Q%1."/>
      <w:lvlJc w:val="left"/>
      <w:pPr>
        <w:ind w:left="720" w:hanging="360"/>
      </w:pPr>
      <w:rPr>
        <w:rFonts w:ascii="Verdana" w:hAnsi="Verdana"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4963A6"/>
    <w:multiLevelType w:val="hybridMultilevel"/>
    <w:tmpl w:val="88C8FF34"/>
    <w:lvl w:ilvl="0" w:tplc="3918AE30">
      <w:start w:val="1"/>
      <w:numFmt w:val="decimal"/>
      <w:lvlText w:val="AQ%1."/>
      <w:lvlJc w:val="left"/>
      <w:pPr>
        <w:ind w:left="106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603A55"/>
    <w:multiLevelType w:val="hybridMultilevel"/>
    <w:tmpl w:val="51BAA9DC"/>
    <w:lvl w:ilvl="0" w:tplc="74484F9A">
      <w:start w:val="1"/>
      <w:numFmt w:val="lowerRoman"/>
      <w:lvlText w:val="%1."/>
      <w:lvlJc w:val="right"/>
      <w:pPr>
        <w:ind w:left="2160" w:hanging="360"/>
      </w:pPr>
      <w:rPr>
        <w:rFonts w:ascii="Verdana" w:hAnsi="Verdana" w:hint="default"/>
        <w:b w:val="0"/>
        <w:i w:val="0"/>
        <w:sz w:val="22"/>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63D4024C"/>
    <w:multiLevelType w:val="hybridMultilevel"/>
    <w:tmpl w:val="B0E008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90D3E7F"/>
    <w:multiLevelType w:val="hybridMultilevel"/>
    <w:tmpl w:val="89249ACA"/>
    <w:lvl w:ilvl="0" w:tplc="BF5A60EC">
      <w:start w:val="1"/>
      <w:numFmt w:val="lowerRoman"/>
      <w:lvlText w:val="%1."/>
      <w:lvlJc w:val="right"/>
      <w:pPr>
        <w:ind w:left="720" w:hanging="360"/>
      </w:pPr>
    </w:lvl>
    <w:lvl w:ilvl="1" w:tplc="BE16E00C">
      <w:start w:val="1"/>
      <w:numFmt w:val="lowerLetter"/>
      <w:lvlText w:val="%2."/>
      <w:lvlJc w:val="left"/>
      <w:pPr>
        <w:ind w:left="1440" w:hanging="360"/>
      </w:pPr>
    </w:lvl>
    <w:lvl w:ilvl="2" w:tplc="C44063C0">
      <w:start w:val="1"/>
      <w:numFmt w:val="lowerRoman"/>
      <w:lvlText w:val="%3."/>
      <w:lvlJc w:val="right"/>
      <w:pPr>
        <w:ind w:left="2160" w:hanging="180"/>
      </w:pPr>
    </w:lvl>
    <w:lvl w:ilvl="3" w:tplc="5BA8C612">
      <w:start w:val="1"/>
      <w:numFmt w:val="decimal"/>
      <w:lvlText w:val="%4."/>
      <w:lvlJc w:val="left"/>
      <w:pPr>
        <w:ind w:left="2880" w:hanging="360"/>
      </w:pPr>
    </w:lvl>
    <w:lvl w:ilvl="4" w:tplc="19925388">
      <w:start w:val="1"/>
      <w:numFmt w:val="lowerLetter"/>
      <w:lvlText w:val="%5."/>
      <w:lvlJc w:val="left"/>
      <w:pPr>
        <w:ind w:left="3600" w:hanging="360"/>
      </w:pPr>
    </w:lvl>
    <w:lvl w:ilvl="5" w:tplc="1E642AA6">
      <w:start w:val="1"/>
      <w:numFmt w:val="lowerRoman"/>
      <w:lvlText w:val="%6."/>
      <w:lvlJc w:val="right"/>
      <w:pPr>
        <w:ind w:left="4320" w:hanging="180"/>
      </w:pPr>
    </w:lvl>
    <w:lvl w:ilvl="6" w:tplc="A052EA9A">
      <w:start w:val="1"/>
      <w:numFmt w:val="decimal"/>
      <w:lvlText w:val="%7."/>
      <w:lvlJc w:val="left"/>
      <w:pPr>
        <w:ind w:left="5040" w:hanging="360"/>
      </w:pPr>
    </w:lvl>
    <w:lvl w:ilvl="7" w:tplc="D3D8B772">
      <w:start w:val="1"/>
      <w:numFmt w:val="lowerLetter"/>
      <w:lvlText w:val="%8."/>
      <w:lvlJc w:val="left"/>
      <w:pPr>
        <w:ind w:left="5760" w:hanging="360"/>
      </w:pPr>
    </w:lvl>
    <w:lvl w:ilvl="8" w:tplc="0F72C574">
      <w:start w:val="1"/>
      <w:numFmt w:val="lowerRoman"/>
      <w:lvlText w:val="%9."/>
      <w:lvlJc w:val="right"/>
      <w:pPr>
        <w:ind w:left="6480" w:hanging="180"/>
      </w:pPr>
    </w:lvl>
  </w:abstractNum>
  <w:num w:numId="1">
    <w:abstractNumId w:val="1"/>
  </w:num>
  <w:num w:numId="2">
    <w:abstractNumId w:val="8"/>
  </w:num>
  <w:num w:numId="3">
    <w:abstractNumId w:val="13"/>
  </w:num>
  <w:num w:numId="4">
    <w:abstractNumId w:val="21"/>
  </w:num>
  <w:num w:numId="5">
    <w:abstractNumId w:val="15"/>
  </w:num>
  <w:num w:numId="6">
    <w:abstractNumId w:val="16"/>
  </w:num>
  <w:num w:numId="7">
    <w:abstractNumId w:val="20"/>
  </w:num>
  <w:num w:numId="8">
    <w:abstractNumId w:val="19"/>
  </w:num>
  <w:num w:numId="9">
    <w:abstractNumId w:val="17"/>
  </w:num>
  <w:num w:numId="10">
    <w:abstractNumId w:val="4"/>
  </w:num>
  <w:num w:numId="11">
    <w:abstractNumId w:val="10"/>
  </w:num>
  <w:num w:numId="12">
    <w:abstractNumId w:val="3"/>
  </w:num>
  <w:num w:numId="13">
    <w:abstractNumId w:val="0"/>
  </w:num>
  <w:num w:numId="14">
    <w:abstractNumId w:val="7"/>
  </w:num>
  <w:num w:numId="15">
    <w:abstractNumId w:val="9"/>
  </w:num>
  <w:num w:numId="16">
    <w:abstractNumId w:val="18"/>
  </w:num>
  <w:num w:numId="17">
    <w:abstractNumId w:val="6"/>
  </w:num>
  <w:num w:numId="18">
    <w:abstractNumId w:val="2"/>
  </w:num>
  <w:num w:numId="19">
    <w:abstractNumId w:val="5"/>
  </w:num>
  <w:num w:numId="20">
    <w:abstractNumId w:val="12"/>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22"/>
    <w:rsid w:val="00001486"/>
    <w:rsid w:val="00003582"/>
    <w:rsid w:val="00007F57"/>
    <w:rsid w:val="0001213A"/>
    <w:rsid w:val="00012661"/>
    <w:rsid w:val="000126F7"/>
    <w:rsid w:val="000221A0"/>
    <w:rsid w:val="000305BA"/>
    <w:rsid w:val="000334FB"/>
    <w:rsid w:val="0004243F"/>
    <w:rsid w:val="0005056D"/>
    <w:rsid w:val="000629A0"/>
    <w:rsid w:val="00067DDB"/>
    <w:rsid w:val="000741D3"/>
    <w:rsid w:val="000742F4"/>
    <w:rsid w:val="000866BF"/>
    <w:rsid w:val="00087134"/>
    <w:rsid w:val="0009062F"/>
    <w:rsid w:val="00092C30"/>
    <w:rsid w:val="00092CE0"/>
    <w:rsid w:val="00095381"/>
    <w:rsid w:val="000C6C09"/>
    <w:rsid w:val="000D3A6A"/>
    <w:rsid w:val="000D7933"/>
    <w:rsid w:val="000E145D"/>
    <w:rsid w:val="000F43E9"/>
    <w:rsid w:val="000F71CA"/>
    <w:rsid w:val="000F7460"/>
    <w:rsid w:val="000F79F1"/>
    <w:rsid w:val="001023EE"/>
    <w:rsid w:val="001030A3"/>
    <w:rsid w:val="001052C1"/>
    <w:rsid w:val="00107C75"/>
    <w:rsid w:val="00107DFF"/>
    <w:rsid w:val="00110FEA"/>
    <w:rsid w:val="001151C2"/>
    <w:rsid w:val="001239C6"/>
    <w:rsid w:val="00125A51"/>
    <w:rsid w:val="001317BA"/>
    <w:rsid w:val="001464BD"/>
    <w:rsid w:val="001476A5"/>
    <w:rsid w:val="001509E3"/>
    <w:rsid w:val="001555FB"/>
    <w:rsid w:val="00157791"/>
    <w:rsid w:val="00165768"/>
    <w:rsid w:val="001660D7"/>
    <w:rsid w:val="0017129E"/>
    <w:rsid w:val="00171AD3"/>
    <w:rsid w:val="00174E8D"/>
    <w:rsid w:val="00185341"/>
    <w:rsid w:val="00185908"/>
    <w:rsid w:val="00190469"/>
    <w:rsid w:val="0019478F"/>
    <w:rsid w:val="00196207"/>
    <w:rsid w:val="0019676D"/>
    <w:rsid w:val="00196788"/>
    <w:rsid w:val="001A3ACC"/>
    <w:rsid w:val="001A6D5B"/>
    <w:rsid w:val="001B09E3"/>
    <w:rsid w:val="001C4BA8"/>
    <w:rsid w:val="001C5078"/>
    <w:rsid w:val="001E0683"/>
    <w:rsid w:val="001E1958"/>
    <w:rsid w:val="001F2F24"/>
    <w:rsid w:val="00204E40"/>
    <w:rsid w:val="002059F5"/>
    <w:rsid w:val="00213169"/>
    <w:rsid w:val="00213446"/>
    <w:rsid w:val="00214378"/>
    <w:rsid w:val="002148AB"/>
    <w:rsid w:val="00220E22"/>
    <w:rsid w:val="0022375C"/>
    <w:rsid w:val="00244E4E"/>
    <w:rsid w:val="00252AB3"/>
    <w:rsid w:val="00256DB6"/>
    <w:rsid w:val="00261587"/>
    <w:rsid w:val="00262B67"/>
    <w:rsid w:val="0026471B"/>
    <w:rsid w:val="002654E9"/>
    <w:rsid w:val="002671F9"/>
    <w:rsid w:val="002719D6"/>
    <w:rsid w:val="0028087C"/>
    <w:rsid w:val="00290D27"/>
    <w:rsid w:val="002918FA"/>
    <w:rsid w:val="00291C02"/>
    <w:rsid w:val="00294E9A"/>
    <w:rsid w:val="002A1F21"/>
    <w:rsid w:val="002A28AF"/>
    <w:rsid w:val="002A3D9C"/>
    <w:rsid w:val="002A4D85"/>
    <w:rsid w:val="002A715F"/>
    <w:rsid w:val="002B062B"/>
    <w:rsid w:val="002B54A0"/>
    <w:rsid w:val="002C0B42"/>
    <w:rsid w:val="002C0D62"/>
    <w:rsid w:val="002C3863"/>
    <w:rsid w:val="002C7343"/>
    <w:rsid w:val="002D2798"/>
    <w:rsid w:val="002E0E61"/>
    <w:rsid w:val="002E6AD8"/>
    <w:rsid w:val="002E6C68"/>
    <w:rsid w:val="002F1134"/>
    <w:rsid w:val="002F4172"/>
    <w:rsid w:val="002F692B"/>
    <w:rsid w:val="002F754B"/>
    <w:rsid w:val="002F7E63"/>
    <w:rsid w:val="0030194B"/>
    <w:rsid w:val="00305FE3"/>
    <w:rsid w:val="00315160"/>
    <w:rsid w:val="00317D87"/>
    <w:rsid w:val="00331A9A"/>
    <w:rsid w:val="00334EEF"/>
    <w:rsid w:val="003428DF"/>
    <w:rsid w:val="003440AD"/>
    <w:rsid w:val="00344AB1"/>
    <w:rsid w:val="00353FD5"/>
    <w:rsid w:val="00354CA0"/>
    <w:rsid w:val="0035588C"/>
    <w:rsid w:val="00362360"/>
    <w:rsid w:val="00362A53"/>
    <w:rsid w:val="00370031"/>
    <w:rsid w:val="00385EB8"/>
    <w:rsid w:val="00390FFC"/>
    <w:rsid w:val="00393C13"/>
    <w:rsid w:val="00394077"/>
    <w:rsid w:val="003A72BC"/>
    <w:rsid w:val="003B6CAA"/>
    <w:rsid w:val="003C0FDB"/>
    <w:rsid w:val="003C642E"/>
    <w:rsid w:val="003D518F"/>
    <w:rsid w:val="003D6617"/>
    <w:rsid w:val="003E727B"/>
    <w:rsid w:val="003F251B"/>
    <w:rsid w:val="003F42B7"/>
    <w:rsid w:val="00400E6A"/>
    <w:rsid w:val="004070FE"/>
    <w:rsid w:val="0041526B"/>
    <w:rsid w:val="00422DD2"/>
    <w:rsid w:val="00424414"/>
    <w:rsid w:val="00424728"/>
    <w:rsid w:val="0042613B"/>
    <w:rsid w:val="004277D2"/>
    <w:rsid w:val="00430C4D"/>
    <w:rsid w:val="0043136C"/>
    <w:rsid w:val="00432410"/>
    <w:rsid w:val="00433734"/>
    <w:rsid w:val="004433AF"/>
    <w:rsid w:val="00443C34"/>
    <w:rsid w:val="00451BB0"/>
    <w:rsid w:val="00451CD8"/>
    <w:rsid w:val="00460C86"/>
    <w:rsid w:val="00462C67"/>
    <w:rsid w:val="00466554"/>
    <w:rsid w:val="004674E5"/>
    <w:rsid w:val="004704D9"/>
    <w:rsid w:val="00473A50"/>
    <w:rsid w:val="0047568D"/>
    <w:rsid w:val="004776F8"/>
    <w:rsid w:val="0048413A"/>
    <w:rsid w:val="00491E85"/>
    <w:rsid w:val="00492CEC"/>
    <w:rsid w:val="004A2971"/>
    <w:rsid w:val="004B3DCF"/>
    <w:rsid w:val="004B651E"/>
    <w:rsid w:val="004D1523"/>
    <w:rsid w:val="004D1FB6"/>
    <w:rsid w:val="004D5327"/>
    <w:rsid w:val="004D6428"/>
    <w:rsid w:val="004E0FE6"/>
    <w:rsid w:val="004E6ECD"/>
    <w:rsid w:val="005034F6"/>
    <w:rsid w:val="005130FE"/>
    <w:rsid w:val="00530DE4"/>
    <w:rsid w:val="005473CD"/>
    <w:rsid w:val="0056623D"/>
    <w:rsid w:val="00571310"/>
    <w:rsid w:val="005743F2"/>
    <w:rsid w:val="00577AAB"/>
    <w:rsid w:val="0058087F"/>
    <w:rsid w:val="005839DF"/>
    <w:rsid w:val="00590E5A"/>
    <w:rsid w:val="005912E3"/>
    <w:rsid w:val="00591571"/>
    <w:rsid w:val="005929D8"/>
    <w:rsid w:val="00596049"/>
    <w:rsid w:val="005A2FEA"/>
    <w:rsid w:val="005C0541"/>
    <w:rsid w:val="005C0F82"/>
    <w:rsid w:val="005C7997"/>
    <w:rsid w:val="005D1E82"/>
    <w:rsid w:val="005D20C2"/>
    <w:rsid w:val="005D319A"/>
    <w:rsid w:val="005D3F09"/>
    <w:rsid w:val="005D50D8"/>
    <w:rsid w:val="005D7A3B"/>
    <w:rsid w:val="005E0CC7"/>
    <w:rsid w:val="005E217D"/>
    <w:rsid w:val="005F3911"/>
    <w:rsid w:val="005F39BD"/>
    <w:rsid w:val="005F5EAA"/>
    <w:rsid w:val="00603DE2"/>
    <w:rsid w:val="00604F97"/>
    <w:rsid w:val="00612285"/>
    <w:rsid w:val="00613FBD"/>
    <w:rsid w:val="006142A4"/>
    <w:rsid w:val="0061773B"/>
    <w:rsid w:val="006223C5"/>
    <w:rsid w:val="00622ACE"/>
    <w:rsid w:val="00624414"/>
    <w:rsid w:val="00626A00"/>
    <w:rsid w:val="00634BB7"/>
    <w:rsid w:val="00644A17"/>
    <w:rsid w:val="00645BEE"/>
    <w:rsid w:val="006462AC"/>
    <w:rsid w:val="006470F9"/>
    <w:rsid w:val="00647201"/>
    <w:rsid w:val="00652663"/>
    <w:rsid w:val="006647F0"/>
    <w:rsid w:val="00670779"/>
    <w:rsid w:val="006727BB"/>
    <w:rsid w:val="0067498A"/>
    <w:rsid w:val="0068111D"/>
    <w:rsid w:val="00681476"/>
    <w:rsid w:val="006841E7"/>
    <w:rsid w:val="00684F24"/>
    <w:rsid w:val="006933D1"/>
    <w:rsid w:val="006A0817"/>
    <w:rsid w:val="006A3A96"/>
    <w:rsid w:val="006A56D8"/>
    <w:rsid w:val="006B54B0"/>
    <w:rsid w:val="006B6159"/>
    <w:rsid w:val="006B676C"/>
    <w:rsid w:val="006C293D"/>
    <w:rsid w:val="006C6065"/>
    <w:rsid w:val="006D0BFC"/>
    <w:rsid w:val="006D648D"/>
    <w:rsid w:val="006E126A"/>
    <w:rsid w:val="006E18E4"/>
    <w:rsid w:val="006E50D9"/>
    <w:rsid w:val="006F2004"/>
    <w:rsid w:val="006F353D"/>
    <w:rsid w:val="006F47B0"/>
    <w:rsid w:val="00703E86"/>
    <w:rsid w:val="0071700B"/>
    <w:rsid w:val="007204AA"/>
    <w:rsid w:val="00721390"/>
    <w:rsid w:val="007215A6"/>
    <w:rsid w:val="00724B99"/>
    <w:rsid w:val="00726D4B"/>
    <w:rsid w:val="00733517"/>
    <w:rsid w:val="007347B8"/>
    <w:rsid w:val="00734A7D"/>
    <w:rsid w:val="00737F72"/>
    <w:rsid w:val="00746B6A"/>
    <w:rsid w:val="00751F79"/>
    <w:rsid w:val="00753EA1"/>
    <w:rsid w:val="00754A4C"/>
    <w:rsid w:val="00757900"/>
    <w:rsid w:val="007706ED"/>
    <w:rsid w:val="007717B5"/>
    <w:rsid w:val="00773FDD"/>
    <w:rsid w:val="00784196"/>
    <w:rsid w:val="00785D26"/>
    <w:rsid w:val="007953FB"/>
    <w:rsid w:val="007A4D94"/>
    <w:rsid w:val="007C0EE8"/>
    <w:rsid w:val="007C17A7"/>
    <w:rsid w:val="007C1EDB"/>
    <w:rsid w:val="007C2281"/>
    <w:rsid w:val="007C3228"/>
    <w:rsid w:val="007D068B"/>
    <w:rsid w:val="007D284F"/>
    <w:rsid w:val="007E4E13"/>
    <w:rsid w:val="007E4F6F"/>
    <w:rsid w:val="007E5250"/>
    <w:rsid w:val="007E76B8"/>
    <w:rsid w:val="007E7C04"/>
    <w:rsid w:val="007F3D9D"/>
    <w:rsid w:val="007F6DFC"/>
    <w:rsid w:val="008010E5"/>
    <w:rsid w:val="008015B2"/>
    <w:rsid w:val="00802E23"/>
    <w:rsid w:val="00817A16"/>
    <w:rsid w:val="008211F2"/>
    <w:rsid w:val="00822D30"/>
    <w:rsid w:val="008331F3"/>
    <w:rsid w:val="00833486"/>
    <w:rsid w:val="0084251A"/>
    <w:rsid w:val="00846571"/>
    <w:rsid w:val="00847A8F"/>
    <w:rsid w:val="00852419"/>
    <w:rsid w:val="008653DB"/>
    <w:rsid w:val="008671AF"/>
    <w:rsid w:val="00872CBB"/>
    <w:rsid w:val="008802A4"/>
    <w:rsid w:val="0088255D"/>
    <w:rsid w:val="00884A38"/>
    <w:rsid w:val="00884E29"/>
    <w:rsid w:val="00886FAB"/>
    <w:rsid w:val="00887615"/>
    <w:rsid w:val="008876C0"/>
    <w:rsid w:val="00890D24"/>
    <w:rsid w:val="00891571"/>
    <w:rsid w:val="00891616"/>
    <w:rsid w:val="0089487B"/>
    <w:rsid w:val="008A6C96"/>
    <w:rsid w:val="008A7B9A"/>
    <w:rsid w:val="008B136E"/>
    <w:rsid w:val="008B69E4"/>
    <w:rsid w:val="008C5432"/>
    <w:rsid w:val="008D1D86"/>
    <w:rsid w:val="008D45BC"/>
    <w:rsid w:val="008E2FEC"/>
    <w:rsid w:val="008E3E24"/>
    <w:rsid w:val="008E3E40"/>
    <w:rsid w:val="008E5A99"/>
    <w:rsid w:val="008E66F9"/>
    <w:rsid w:val="008F294F"/>
    <w:rsid w:val="008F56B0"/>
    <w:rsid w:val="00900928"/>
    <w:rsid w:val="00902D5D"/>
    <w:rsid w:val="0090444B"/>
    <w:rsid w:val="0090650B"/>
    <w:rsid w:val="00906D0F"/>
    <w:rsid w:val="009134FD"/>
    <w:rsid w:val="00922431"/>
    <w:rsid w:val="00922899"/>
    <w:rsid w:val="00927370"/>
    <w:rsid w:val="00932605"/>
    <w:rsid w:val="0093549D"/>
    <w:rsid w:val="0095310A"/>
    <w:rsid w:val="009540EF"/>
    <w:rsid w:val="00957C89"/>
    <w:rsid w:val="00962752"/>
    <w:rsid w:val="00963696"/>
    <w:rsid w:val="00963EC7"/>
    <w:rsid w:val="00965CFC"/>
    <w:rsid w:val="0096708D"/>
    <w:rsid w:val="0096736E"/>
    <w:rsid w:val="00967A75"/>
    <w:rsid w:val="00970C67"/>
    <w:rsid w:val="00972AC2"/>
    <w:rsid w:val="00972F05"/>
    <w:rsid w:val="0097582C"/>
    <w:rsid w:val="009770AB"/>
    <w:rsid w:val="00977DDC"/>
    <w:rsid w:val="0098524D"/>
    <w:rsid w:val="009857A6"/>
    <w:rsid w:val="0098660F"/>
    <w:rsid w:val="009929D0"/>
    <w:rsid w:val="009A585C"/>
    <w:rsid w:val="009B735A"/>
    <w:rsid w:val="009C30E6"/>
    <w:rsid w:val="009D4203"/>
    <w:rsid w:val="009E2548"/>
    <w:rsid w:val="009E574B"/>
    <w:rsid w:val="009E7150"/>
    <w:rsid w:val="009F1996"/>
    <w:rsid w:val="009F312D"/>
    <w:rsid w:val="009F34EF"/>
    <w:rsid w:val="009F37CA"/>
    <w:rsid w:val="009F58D1"/>
    <w:rsid w:val="009F5B16"/>
    <w:rsid w:val="009F6483"/>
    <w:rsid w:val="00A06EE9"/>
    <w:rsid w:val="00A07E79"/>
    <w:rsid w:val="00A10CD9"/>
    <w:rsid w:val="00A12D1F"/>
    <w:rsid w:val="00A14053"/>
    <w:rsid w:val="00A1740C"/>
    <w:rsid w:val="00A3777F"/>
    <w:rsid w:val="00A4076E"/>
    <w:rsid w:val="00A468D9"/>
    <w:rsid w:val="00A526A1"/>
    <w:rsid w:val="00A56C1E"/>
    <w:rsid w:val="00A605C8"/>
    <w:rsid w:val="00A656C0"/>
    <w:rsid w:val="00A66BAF"/>
    <w:rsid w:val="00A7083A"/>
    <w:rsid w:val="00A712F4"/>
    <w:rsid w:val="00A759F8"/>
    <w:rsid w:val="00A768E3"/>
    <w:rsid w:val="00A8046A"/>
    <w:rsid w:val="00A87083"/>
    <w:rsid w:val="00A920BC"/>
    <w:rsid w:val="00A933D3"/>
    <w:rsid w:val="00A95690"/>
    <w:rsid w:val="00A959F7"/>
    <w:rsid w:val="00AA2E02"/>
    <w:rsid w:val="00AA4CE5"/>
    <w:rsid w:val="00AB07BD"/>
    <w:rsid w:val="00AB2140"/>
    <w:rsid w:val="00AB4797"/>
    <w:rsid w:val="00AC6D68"/>
    <w:rsid w:val="00AD5628"/>
    <w:rsid w:val="00AD6C34"/>
    <w:rsid w:val="00AE11C6"/>
    <w:rsid w:val="00AE2DF6"/>
    <w:rsid w:val="00AE5460"/>
    <w:rsid w:val="00AE6C26"/>
    <w:rsid w:val="00AF1431"/>
    <w:rsid w:val="00AF6B22"/>
    <w:rsid w:val="00AF7842"/>
    <w:rsid w:val="00B0015E"/>
    <w:rsid w:val="00B017FB"/>
    <w:rsid w:val="00B05082"/>
    <w:rsid w:val="00B063A0"/>
    <w:rsid w:val="00B07513"/>
    <w:rsid w:val="00B202E0"/>
    <w:rsid w:val="00B2633C"/>
    <w:rsid w:val="00B26760"/>
    <w:rsid w:val="00B2785B"/>
    <w:rsid w:val="00B35B80"/>
    <w:rsid w:val="00B41C3D"/>
    <w:rsid w:val="00B45CC6"/>
    <w:rsid w:val="00B52D3C"/>
    <w:rsid w:val="00B53596"/>
    <w:rsid w:val="00B53C2E"/>
    <w:rsid w:val="00B60DB9"/>
    <w:rsid w:val="00B6208C"/>
    <w:rsid w:val="00B627BC"/>
    <w:rsid w:val="00B64F8D"/>
    <w:rsid w:val="00B7002F"/>
    <w:rsid w:val="00B7146D"/>
    <w:rsid w:val="00B74895"/>
    <w:rsid w:val="00B809BB"/>
    <w:rsid w:val="00B8251A"/>
    <w:rsid w:val="00B830E9"/>
    <w:rsid w:val="00B83506"/>
    <w:rsid w:val="00B92134"/>
    <w:rsid w:val="00B92A8B"/>
    <w:rsid w:val="00B94884"/>
    <w:rsid w:val="00B94AD8"/>
    <w:rsid w:val="00B95CDA"/>
    <w:rsid w:val="00BA02AB"/>
    <w:rsid w:val="00BB0DED"/>
    <w:rsid w:val="00BB125C"/>
    <w:rsid w:val="00BB2841"/>
    <w:rsid w:val="00BB6C1E"/>
    <w:rsid w:val="00BD40F0"/>
    <w:rsid w:val="00BD4703"/>
    <w:rsid w:val="00BD5366"/>
    <w:rsid w:val="00BE276B"/>
    <w:rsid w:val="00BE28CF"/>
    <w:rsid w:val="00BE3D7B"/>
    <w:rsid w:val="00BF0B0B"/>
    <w:rsid w:val="00BF3C91"/>
    <w:rsid w:val="00BF5F74"/>
    <w:rsid w:val="00BF7597"/>
    <w:rsid w:val="00C024BE"/>
    <w:rsid w:val="00C045C2"/>
    <w:rsid w:val="00C13799"/>
    <w:rsid w:val="00C17BEC"/>
    <w:rsid w:val="00C215C3"/>
    <w:rsid w:val="00C230E9"/>
    <w:rsid w:val="00C32C5C"/>
    <w:rsid w:val="00C37DDB"/>
    <w:rsid w:val="00C43BF8"/>
    <w:rsid w:val="00C4444C"/>
    <w:rsid w:val="00C446F5"/>
    <w:rsid w:val="00C47A84"/>
    <w:rsid w:val="00C503A7"/>
    <w:rsid w:val="00C5770E"/>
    <w:rsid w:val="00C66AA9"/>
    <w:rsid w:val="00C72927"/>
    <w:rsid w:val="00C80B3D"/>
    <w:rsid w:val="00CA0CF3"/>
    <w:rsid w:val="00CA4598"/>
    <w:rsid w:val="00CA4BE3"/>
    <w:rsid w:val="00CA7389"/>
    <w:rsid w:val="00CB0013"/>
    <w:rsid w:val="00CB509E"/>
    <w:rsid w:val="00CC1C26"/>
    <w:rsid w:val="00CC3F34"/>
    <w:rsid w:val="00CC49E9"/>
    <w:rsid w:val="00CC7F70"/>
    <w:rsid w:val="00CD1E93"/>
    <w:rsid w:val="00CD482B"/>
    <w:rsid w:val="00CD5DA4"/>
    <w:rsid w:val="00CE31CD"/>
    <w:rsid w:val="00CE3678"/>
    <w:rsid w:val="00CE4611"/>
    <w:rsid w:val="00D000EB"/>
    <w:rsid w:val="00D03B27"/>
    <w:rsid w:val="00D03F8A"/>
    <w:rsid w:val="00D04588"/>
    <w:rsid w:val="00D046E6"/>
    <w:rsid w:val="00D077B9"/>
    <w:rsid w:val="00D07815"/>
    <w:rsid w:val="00D07A40"/>
    <w:rsid w:val="00D1308A"/>
    <w:rsid w:val="00D1322B"/>
    <w:rsid w:val="00D140CE"/>
    <w:rsid w:val="00D15F5B"/>
    <w:rsid w:val="00D25BF6"/>
    <w:rsid w:val="00D305CA"/>
    <w:rsid w:val="00D31A28"/>
    <w:rsid w:val="00D352E9"/>
    <w:rsid w:val="00D37129"/>
    <w:rsid w:val="00D43A13"/>
    <w:rsid w:val="00D4473F"/>
    <w:rsid w:val="00D468E0"/>
    <w:rsid w:val="00D47DF4"/>
    <w:rsid w:val="00D50DF5"/>
    <w:rsid w:val="00D53BE7"/>
    <w:rsid w:val="00D5713E"/>
    <w:rsid w:val="00D602CF"/>
    <w:rsid w:val="00D632A8"/>
    <w:rsid w:val="00D6602C"/>
    <w:rsid w:val="00D84023"/>
    <w:rsid w:val="00D85C72"/>
    <w:rsid w:val="00D862A5"/>
    <w:rsid w:val="00D90AD7"/>
    <w:rsid w:val="00D90E4A"/>
    <w:rsid w:val="00D93FEA"/>
    <w:rsid w:val="00D940E9"/>
    <w:rsid w:val="00DA1347"/>
    <w:rsid w:val="00DA4DBA"/>
    <w:rsid w:val="00DA5102"/>
    <w:rsid w:val="00DA7A71"/>
    <w:rsid w:val="00DA7EFB"/>
    <w:rsid w:val="00DB100C"/>
    <w:rsid w:val="00DB1EAA"/>
    <w:rsid w:val="00DB5E0A"/>
    <w:rsid w:val="00DC07A5"/>
    <w:rsid w:val="00DC6284"/>
    <w:rsid w:val="00DD1EDA"/>
    <w:rsid w:val="00DD379A"/>
    <w:rsid w:val="00DE4E38"/>
    <w:rsid w:val="00DE6DC8"/>
    <w:rsid w:val="00DE7258"/>
    <w:rsid w:val="00DF050A"/>
    <w:rsid w:val="00E000C1"/>
    <w:rsid w:val="00E01930"/>
    <w:rsid w:val="00E033BA"/>
    <w:rsid w:val="00E06208"/>
    <w:rsid w:val="00E15818"/>
    <w:rsid w:val="00E1690A"/>
    <w:rsid w:val="00E16B59"/>
    <w:rsid w:val="00E16BF4"/>
    <w:rsid w:val="00E20127"/>
    <w:rsid w:val="00E2723C"/>
    <w:rsid w:val="00E64834"/>
    <w:rsid w:val="00E66FEF"/>
    <w:rsid w:val="00E73BBC"/>
    <w:rsid w:val="00E81BB0"/>
    <w:rsid w:val="00E82F10"/>
    <w:rsid w:val="00E94407"/>
    <w:rsid w:val="00E95EC9"/>
    <w:rsid w:val="00EA0E1A"/>
    <w:rsid w:val="00EA29F4"/>
    <w:rsid w:val="00EA5E9B"/>
    <w:rsid w:val="00EB4098"/>
    <w:rsid w:val="00EC0A88"/>
    <w:rsid w:val="00EC3D46"/>
    <w:rsid w:val="00EC7D84"/>
    <w:rsid w:val="00ED0139"/>
    <w:rsid w:val="00ED0C41"/>
    <w:rsid w:val="00ED1418"/>
    <w:rsid w:val="00ED2E86"/>
    <w:rsid w:val="00ED63B6"/>
    <w:rsid w:val="00EE1797"/>
    <w:rsid w:val="00EF02B2"/>
    <w:rsid w:val="00EF3885"/>
    <w:rsid w:val="00EF74C8"/>
    <w:rsid w:val="00EF7FBC"/>
    <w:rsid w:val="00F00828"/>
    <w:rsid w:val="00F013AD"/>
    <w:rsid w:val="00F067C0"/>
    <w:rsid w:val="00F1599B"/>
    <w:rsid w:val="00F15AE7"/>
    <w:rsid w:val="00F1759D"/>
    <w:rsid w:val="00F21F14"/>
    <w:rsid w:val="00F26037"/>
    <w:rsid w:val="00F26FC3"/>
    <w:rsid w:val="00F30724"/>
    <w:rsid w:val="00F335A9"/>
    <w:rsid w:val="00F34000"/>
    <w:rsid w:val="00F349A3"/>
    <w:rsid w:val="00F36429"/>
    <w:rsid w:val="00F52516"/>
    <w:rsid w:val="00F64792"/>
    <w:rsid w:val="00F6748E"/>
    <w:rsid w:val="00F71FC0"/>
    <w:rsid w:val="00F803D2"/>
    <w:rsid w:val="00F86E13"/>
    <w:rsid w:val="00F90DCB"/>
    <w:rsid w:val="00FA48E4"/>
    <w:rsid w:val="00FA68F6"/>
    <w:rsid w:val="00FB2429"/>
    <w:rsid w:val="00FB4ED4"/>
    <w:rsid w:val="00FB527B"/>
    <w:rsid w:val="00FB5701"/>
    <w:rsid w:val="00FB627C"/>
    <w:rsid w:val="00FC005F"/>
    <w:rsid w:val="00FC03B8"/>
    <w:rsid w:val="00FC1E74"/>
    <w:rsid w:val="00FC2E46"/>
    <w:rsid w:val="00FD008A"/>
    <w:rsid w:val="00FD4203"/>
    <w:rsid w:val="00FD4AC5"/>
    <w:rsid w:val="00FD4DC7"/>
    <w:rsid w:val="00FE11E0"/>
    <w:rsid w:val="00FE1442"/>
    <w:rsid w:val="00FF3272"/>
    <w:rsid w:val="00FF3876"/>
    <w:rsid w:val="00FF59ED"/>
    <w:rsid w:val="012203B1"/>
    <w:rsid w:val="01B4572D"/>
    <w:rsid w:val="0227E1EF"/>
    <w:rsid w:val="022EEF01"/>
    <w:rsid w:val="027DEFF5"/>
    <w:rsid w:val="030814A8"/>
    <w:rsid w:val="0355A3C3"/>
    <w:rsid w:val="037FF962"/>
    <w:rsid w:val="03F0BEE3"/>
    <w:rsid w:val="0410E62A"/>
    <w:rsid w:val="0423D9C2"/>
    <w:rsid w:val="0459A473"/>
    <w:rsid w:val="0472CC44"/>
    <w:rsid w:val="04A3E509"/>
    <w:rsid w:val="04D84BC7"/>
    <w:rsid w:val="04EBF7EF"/>
    <w:rsid w:val="05A98255"/>
    <w:rsid w:val="05BFAA23"/>
    <w:rsid w:val="05DD5FBC"/>
    <w:rsid w:val="05EE76D3"/>
    <w:rsid w:val="06060F43"/>
    <w:rsid w:val="0679F2AF"/>
    <w:rsid w:val="068D4485"/>
    <w:rsid w:val="07516118"/>
    <w:rsid w:val="079957F7"/>
    <w:rsid w:val="07B9D769"/>
    <w:rsid w:val="080FEC89"/>
    <w:rsid w:val="08D43E5E"/>
    <w:rsid w:val="091E5F51"/>
    <w:rsid w:val="0A28166A"/>
    <w:rsid w:val="0A8901DA"/>
    <w:rsid w:val="0A95F5D0"/>
    <w:rsid w:val="0AD88E32"/>
    <w:rsid w:val="0AFBA5C0"/>
    <w:rsid w:val="0B13268D"/>
    <w:rsid w:val="0B311C51"/>
    <w:rsid w:val="0C2D6E3B"/>
    <w:rsid w:val="0C4CA140"/>
    <w:rsid w:val="0CC1D688"/>
    <w:rsid w:val="0DD7209F"/>
    <w:rsid w:val="0DE87317"/>
    <w:rsid w:val="0E1DC7CB"/>
    <w:rsid w:val="0E3742C1"/>
    <w:rsid w:val="0E429009"/>
    <w:rsid w:val="0EB8F080"/>
    <w:rsid w:val="0EC99C75"/>
    <w:rsid w:val="0EE73DB5"/>
    <w:rsid w:val="0EFB878D"/>
    <w:rsid w:val="0F01B021"/>
    <w:rsid w:val="0F1D4087"/>
    <w:rsid w:val="0F5C72FD"/>
    <w:rsid w:val="0F955919"/>
    <w:rsid w:val="0FE217C6"/>
    <w:rsid w:val="0FF9774A"/>
    <w:rsid w:val="101EE9C8"/>
    <w:rsid w:val="102F53D9"/>
    <w:rsid w:val="103A7F8F"/>
    <w:rsid w:val="10513480"/>
    <w:rsid w:val="108E5B5E"/>
    <w:rsid w:val="10CA35D7"/>
    <w:rsid w:val="10E7AA97"/>
    <w:rsid w:val="11189775"/>
    <w:rsid w:val="11401501"/>
    <w:rsid w:val="117D1CEE"/>
    <w:rsid w:val="11E744F8"/>
    <w:rsid w:val="121EDE77"/>
    <w:rsid w:val="12642356"/>
    <w:rsid w:val="12CB69EE"/>
    <w:rsid w:val="12DBE562"/>
    <w:rsid w:val="1316012C"/>
    <w:rsid w:val="1318A04F"/>
    <w:rsid w:val="131DA0FA"/>
    <w:rsid w:val="138237FB"/>
    <w:rsid w:val="13C5D2AB"/>
    <w:rsid w:val="14503837"/>
    <w:rsid w:val="1483565C"/>
    <w:rsid w:val="14B6672F"/>
    <w:rsid w:val="14DDE84C"/>
    <w:rsid w:val="1552A64B"/>
    <w:rsid w:val="156AC911"/>
    <w:rsid w:val="15CBC18A"/>
    <w:rsid w:val="163D7621"/>
    <w:rsid w:val="165DC6BA"/>
    <w:rsid w:val="16906710"/>
    <w:rsid w:val="17D83993"/>
    <w:rsid w:val="17D94682"/>
    <w:rsid w:val="17F01A77"/>
    <w:rsid w:val="1841AA01"/>
    <w:rsid w:val="1865C098"/>
    <w:rsid w:val="188A470D"/>
    <w:rsid w:val="18A269D3"/>
    <w:rsid w:val="196EB976"/>
    <w:rsid w:val="1987E1D3"/>
    <w:rsid w:val="1A615463"/>
    <w:rsid w:val="1A99FFA4"/>
    <w:rsid w:val="1A9C7B4A"/>
    <w:rsid w:val="1AB5A3A7"/>
    <w:rsid w:val="1AD43E09"/>
    <w:rsid w:val="1AEE0EC1"/>
    <w:rsid w:val="1B0A89D7"/>
    <w:rsid w:val="1B28B2DF"/>
    <w:rsid w:val="1B3137DD"/>
    <w:rsid w:val="1B3C29F1"/>
    <w:rsid w:val="1BA18F3F"/>
    <w:rsid w:val="1BD5EFC5"/>
    <w:rsid w:val="1C384BAB"/>
    <w:rsid w:val="1C4CFCF7"/>
    <w:rsid w:val="1CBB0090"/>
    <w:rsid w:val="1CCD083E"/>
    <w:rsid w:val="1D1758D5"/>
    <w:rsid w:val="1DCC2F81"/>
    <w:rsid w:val="1DFF4471"/>
    <w:rsid w:val="1E68D89F"/>
    <w:rsid w:val="1E7B92FD"/>
    <w:rsid w:val="1EA90DAF"/>
    <w:rsid w:val="1EB5EBED"/>
    <w:rsid w:val="1FC3A706"/>
    <w:rsid w:val="1FCA231B"/>
    <w:rsid w:val="1FEB80A3"/>
    <w:rsid w:val="204792A6"/>
    <w:rsid w:val="204EE7D2"/>
    <w:rsid w:val="2088FCDF"/>
    <w:rsid w:val="20F86AF8"/>
    <w:rsid w:val="2165F37C"/>
    <w:rsid w:val="21BDF2EB"/>
    <w:rsid w:val="21BE6F25"/>
    <w:rsid w:val="2239804A"/>
    <w:rsid w:val="22943B59"/>
    <w:rsid w:val="2297C949"/>
    <w:rsid w:val="22A78D2F"/>
    <w:rsid w:val="2309E339"/>
    <w:rsid w:val="23440A10"/>
    <w:rsid w:val="234F295C"/>
    <w:rsid w:val="23A5A53E"/>
    <w:rsid w:val="23C50583"/>
    <w:rsid w:val="2400B8BE"/>
    <w:rsid w:val="2406BF8C"/>
    <w:rsid w:val="245BB0DC"/>
    <w:rsid w:val="24CEDCC1"/>
    <w:rsid w:val="2544EBFB"/>
    <w:rsid w:val="25A28FED"/>
    <w:rsid w:val="25DD916A"/>
    <w:rsid w:val="260A5656"/>
    <w:rsid w:val="26819689"/>
    <w:rsid w:val="26893498"/>
    <w:rsid w:val="27D804D9"/>
    <w:rsid w:val="282504F9"/>
    <w:rsid w:val="2B649CF7"/>
    <w:rsid w:val="2B738CDE"/>
    <w:rsid w:val="2C17DB76"/>
    <w:rsid w:val="2C2CEB4E"/>
    <w:rsid w:val="2E7E64F1"/>
    <w:rsid w:val="2E91DC03"/>
    <w:rsid w:val="2F1AF702"/>
    <w:rsid w:val="2F2180C5"/>
    <w:rsid w:val="2F66E6F3"/>
    <w:rsid w:val="2FCCB733"/>
    <w:rsid w:val="2FCF1F4F"/>
    <w:rsid w:val="307DE7C2"/>
    <w:rsid w:val="30D81984"/>
    <w:rsid w:val="3104FDDB"/>
    <w:rsid w:val="315BA30B"/>
    <w:rsid w:val="31B605B3"/>
    <w:rsid w:val="32FA18C1"/>
    <w:rsid w:val="3351D614"/>
    <w:rsid w:val="33A96F34"/>
    <w:rsid w:val="340B59C0"/>
    <w:rsid w:val="34616EE0"/>
    <w:rsid w:val="348C9745"/>
    <w:rsid w:val="34F2BAAA"/>
    <w:rsid w:val="35474FD0"/>
    <w:rsid w:val="35EBC5D6"/>
    <w:rsid w:val="35F605A9"/>
    <w:rsid w:val="362867A6"/>
    <w:rsid w:val="36616E85"/>
    <w:rsid w:val="3683C58B"/>
    <w:rsid w:val="36D4E57A"/>
    <w:rsid w:val="36DA8431"/>
    <w:rsid w:val="36E1B477"/>
    <w:rsid w:val="370CE08A"/>
    <w:rsid w:val="37A5521B"/>
    <w:rsid w:val="37C43807"/>
    <w:rsid w:val="37F2F426"/>
    <w:rsid w:val="384ACFD3"/>
    <w:rsid w:val="384BFE67"/>
    <w:rsid w:val="388A2C28"/>
    <w:rsid w:val="395031E8"/>
    <w:rsid w:val="39600868"/>
    <w:rsid w:val="39E7CEC8"/>
    <w:rsid w:val="3A1224F3"/>
    <w:rsid w:val="3A13DB68"/>
    <w:rsid w:val="3A5213A8"/>
    <w:rsid w:val="3AA409F4"/>
    <w:rsid w:val="3AC976CC"/>
    <w:rsid w:val="3C14D6E3"/>
    <w:rsid w:val="3C67AF49"/>
    <w:rsid w:val="3D0E3414"/>
    <w:rsid w:val="3D1E7EA8"/>
    <w:rsid w:val="3D6208F5"/>
    <w:rsid w:val="3DBC8CEC"/>
    <w:rsid w:val="3DC1AFE9"/>
    <w:rsid w:val="3DDACC46"/>
    <w:rsid w:val="3DDBAAB6"/>
    <w:rsid w:val="3DF12BB8"/>
    <w:rsid w:val="3DFE4671"/>
    <w:rsid w:val="3E32A6C5"/>
    <w:rsid w:val="3E6FB29F"/>
    <w:rsid w:val="3E765FB3"/>
    <w:rsid w:val="3EBA4F09"/>
    <w:rsid w:val="3F678383"/>
    <w:rsid w:val="3F830C9F"/>
    <w:rsid w:val="3FBF6930"/>
    <w:rsid w:val="3FE7425E"/>
    <w:rsid w:val="40329557"/>
    <w:rsid w:val="40CCD662"/>
    <w:rsid w:val="411E6AC4"/>
    <w:rsid w:val="418312BF"/>
    <w:rsid w:val="429F2445"/>
    <w:rsid w:val="42A6C413"/>
    <w:rsid w:val="42B24604"/>
    <w:rsid w:val="42B50790"/>
    <w:rsid w:val="4309194E"/>
    <w:rsid w:val="4412A613"/>
    <w:rsid w:val="443AF4A6"/>
    <w:rsid w:val="4450D7F1"/>
    <w:rsid w:val="44AC0860"/>
    <w:rsid w:val="458B3B95"/>
    <w:rsid w:val="45DE64D5"/>
    <w:rsid w:val="462EAAB4"/>
    <w:rsid w:val="467CBCC2"/>
    <w:rsid w:val="468BFF5B"/>
    <w:rsid w:val="46D68581"/>
    <w:rsid w:val="487255E2"/>
    <w:rsid w:val="48D45497"/>
    <w:rsid w:val="4995EED9"/>
    <w:rsid w:val="49CFEDEA"/>
    <w:rsid w:val="49DF2FF7"/>
    <w:rsid w:val="4A92847B"/>
    <w:rsid w:val="4A93ACF0"/>
    <w:rsid w:val="4AAC24AD"/>
    <w:rsid w:val="4AFD449C"/>
    <w:rsid w:val="4B4ADA32"/>
    <w:rsid w:val="4B667707"/>
    <w:rsid w:val="4BAE1CEE"/>
    <w:rsid w:val="4BDA9721"/>
    <w:rsid w:val="4C6888EC"/>
    <w:rsid w:val="4CA74FB4"/>
    <w:rsid w:val="4CCDB2EC"/>
    <w:rsid w:val="4CCEBD90"/>
    <w:rsid w:val="4CE6AA93"/>
    <w:rsid w:val="4D16D0B9"/>
    <w:rsid w:val="4DE3C56F"/>
    <w:rsid w:val="4DF9BC06"/>
    <w:rsid w:val="4E04594D"/>
    <w:rsid w:val="4E0EFF56"/>
    <w:rsid w:val="4E47780B"/>
    <w:rsid w:val="4F35774E"/>
    <w:rsid w:val="4FA9BD9D"/>
    <w:rsid w:val="4FE4FB1E"/>
    <w:rsid w:val="509068D6"/>
    <w:rsid w:val="50E89A80"/>
    <w:rsid w:val="510CB30A"/>
    <w:rsid w:val="516C8620"/>
    <w:rsid w:val="51700340"/>
    <w:rsid w:val="5180CB7F"/>
    <w:rsid w:val="52930652"/>
    <w:rsid w:val="533CF470"/>
    <w:rsid w:val="535717F1"/>
    <w:rsid w:val="5380991E"/>
    <w:rsid w:val="53B92ED3"/>
    <w:rsid w:val="53E07D7B"/>
    <w:rsid w:val="53F261AC"/>
    <w:rsid w:val="5404F432"/>
    <w:rsid w:val="54FD37D5"/>
    <w:rsid w:val="550ACA31"/>
    <w:rsid w:val="5554FF34"/>
    <w:rsid w:val="5593796F"/>
    <w:rsid w:val="55A0BC24"/>
    <w:rsid w:val="55A4B8D2"/>
    <w:rsid w:val="55EED754"/>
    <w:rsid w:val="56088818"/>
    <w:rsid w:val="560AB9A2"/>
    <w:rsid w:val="5615A591"/>
    <w:rsid w:val="562C6D9D"/>
    <w:rsid w:val="5632F962"/>
    <w:rsid w:val="564CC640"/>
    <w:rsid w:val="564E2590"/>
    <w:rsid w:val="571F6914"/>
    <w:rsid w:val="572F49D0"/>
    <w:rsid w:val="578775EF"/>
    <w:rsid w:val="57ACE2C7"/>
    <w:rsid w:val="5834D897"/>
    <w:rsid w:val="598BDD64"/>
    <w:rsid w:val="59DE3B54"/>
    <w:rsid w:val="5A5709D6"/>
    <w:rsid w:val="5A66EA92"/>
    <w:rsid w:val="5AECEB16"/>
    <w:rsid w:val="5B019535"/>
    <w:rsid w:val="5B47D59F"/>
    <w:rsid w:val="5B63FF62"/>
    <w:rsid w:val="5B767EE5"/>
    <w:rsid w:val="5BDDB9AC"/>
    <w:rsid w:val="5C01E82D"/>
    <w:rsid w:val="5C044783"/>
    <w:rsid w:val="5C706814"/>
    <w:rsid w:val="5C88BB77"/>
    <w:rsid w:val="5CA2DF67"/>
    <w:rsid w:val="5CC37E26"/>
    <w:rsid w:val="5D3CCEF0"/>
    <w:rsid w:val="5DC3CE21"/>
    <w:rsid w:val="5DD69412"/>
    <w:rsid w:val="5F428996"/>
    <w:rsid w:val="5FA8BD4A"/>
    <w:rsid w:val="5FD34FE3"/>
    <w:rsid w:val="6002F643"/>
    <w:rsid w:val="601BA2D3"/>
    <w:rsid w:val="601E6DF0"/>
    <w:rsid w:val="604D7CD8"/>
    <w:rsid w:val="60A630BF"/>
    <w:rsid w:val="61F10DB1"/>
    <w:rsid w:val="636BF53D"/>
    <w:rsid w:val="63EBCA9F"/>
    <w:rsid w:val="64033E89"/>
    <w:rsid w:val="6485B983"/>
    <w:rsid w:val="6491AC21"/>
    <w:rsid w:val="64B48520"/>
    <w:rsid w:val="656FF160"/>
    <w:rsid w:val="65E2AB8E"/>
    <w:rsid w:val="6611241E"/>
    <w:rsid w:val="669D602C"/>
    <w:rsid w:val="66A395FF"/>
    <w:rsid w:val="66CA88D9"/>
    <w:rsid w:val="671AF923"/>
    <w:rsid w:val="671C6481"/>
    <w:rsid w:val="6740CD1D"/>
    <w:rsid w:val="67E64F4E"/>
    <w:rsid w:val="687370F4"/>
    <w:rsid w:val="68A44DDF"/>
    <w:rsid w:val="68B834E2"/>
    <w:rsid w:val="68D6AFAC"/>
    <w:rsid w:val="68DAC0BB"/>
    <w:rsid w:val="691946B9"/>
    <w:rsid w:val="693A9B0C"/>
    <w:rsid w:val="69FEBEB9"/>
    <w:rsid w:val="6A76911C"/>
    <w:rsid w:val="6A7F6496"/>
    <w:rsid w:val="6AB60269"/>
    <w:rsid w:val="6AE9A9E5"/>
    <w:rsid w:val="6B1E93F2"/>
    <w:rsid w:val="6B45BF15"/>
    <w:rsid w:val="6B4CFDFD"/>
    <w:rsid w:val="6C1D9D13"/>
    <w:rsid w:val="6C97572D"/>
    <w:rsid w:val="6CB9C071"/>
    <w:rsid w:val="6CCBEC25"/>
    <w:rsid w:val="6CE8CE5E"/>
    <w:rsid w:val="6D44AA6E"/>
    <w:rsid w:val="6D7A4ED1"/>
    <w:rsid w:val="6ED22FDC"/>
    <w:rsid w:val="6F9E8B6E"/>
    <w:rsid w:val="6FEC9FDA"/>
    <w:rsid w:val="6FFE5529"/>
    <w:rsid w:val="70193038"/>
    <w:rsid w:val="703A83EC"/>
    <w:rsid w:val="71326EB8"/>
    <w:rsid w:val="71652E12"/>
    <w:rsid w:val="71BC7B2B"/>
    <w:rsid w:val="71C617B0"/>
    <w:rsid w:val="7251DDFE"/>
    <w:rsid w:val="73379272"/>
    <w:rsid w:val="733F7FF8"/>
    <w:rsid w:val="73584B8C"/>
    <w:rsid w:val="73B7C239"/>
    <w:rsid w:val="73DF2E9F"/>
    <w:rsid w:val="7670B070"/>
    <w:rsid w:val="7680F6CE"/>
    <w:rsid w:val="7692729F"/>
    <w:rsid w:val="7700117E"/>
    <w:rsid w:val="7708BD2E"/>
    <w:rsid w:val="7773832B"/>
    <w:rsid w:val="777E6DD4"/>
    <w:rsid w:val="779449C7"/>
    <w:rsid w:val="780C80D1"/>
    <w:rsid w:val="78152C44"/>
    <w:rsid w:val="794D938B"/>
    <w:rsid w:val="7A1BA794"/>
    <w:rsid w:val="7ABE62C5"/>
    <w:rsid w:val="7B633E6D"/>
    <w:rsid w:val="7BA5D57A"/>
    <w:rsid w:val="7C2E6292"/>
    <w:rsid w:val="7D5470CB"/>
    <w:rsid w:val="7D597176"/>
    <w:rsid w:val="7D5B7DDD"/>
    <w:rsid w:val="7E3F8DCD"/>
    <w:rsid w:val="7E526772"/>
    <w:rsid w:val="7E58BDF5"/>
    <w:rsid w:val="7EC92C64"/>
    <w:rsid w:val="7F1D5A29"/>
    <w:rsid w:val="7F418DD9"/>
    <w:rsid w:val="7F464F32"/>
    <w:rsid w:val="7F612E04"/>
    <w:rsid w:val="7F6A497F"/>
    <w:rsid w:val="7FC2E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9E1EE"/>
  <w15:docId w15:val="{286AA9B5-D48D-42A1-8B58-65B67C88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00C"/>
  </w:style>
  <w:style w:type="paragraph" w:styleId="Footer">
    <w:name w:val="footer"/>
    <w:basedOn w:val="Normal"/>
    <w:link w:val="FooterChar"/>
    <w:uiPriority w:val="99"/>
    <w:unhideWhenUsed/>
    <w:rsid w:val="00DB1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00C"/>
  </w:style>
  <w:style w:type="table" w:styleId="TableGrid">
    <w:name w:val="Table Grid"/>
    <w:basedOn w:val="TableNormal"/>
    <w:uiPriority w:val="59"/>
    <w:rsid w:val="00DB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B100C"/>
    <w:pPr>
      <w:ind w:left="720"/>
      <w:contextualSpacing/>
    </w:pPr>
  </w:style>
  <w:style w:type="paragraph" w:customStyle="1" w:styleId="TableStyle2">
    <w:name w:val="Table Style 2"/>
    <w:rsid w:val="00305FE3"/>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val="en-US"/>
    </w:rPr>
  </w:style>
  <w:style w:type="paragraph" w:styleId="BalloonText">
    <w:name w:val="Balloon Text"/>
    <w:basedOn w:val="Normal"/>
    <w:link w:val="BalloonTextChar"/>
    <w:uiPriority w:val="99"/>
    <w:semiHidden/>
    <w:unhideWhenUsed/>
    <w:rsid w:val="00D35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2E9"/>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9" ma:contentTypeDescription="Create a new document." ma:contentTypeScope="" ma:versionID="e4e71511ce0dab6e6ec78a351abe4b87">
  <xsd:schema xmlns:xsd="http://www.w3.org/2001/XMLSchema" xmlns:xs="http://www.w3.org/2001/XMLSchema" xmlns:p="http://schemas.microsoft.com/office/2006/metadata/properties" xmlns:ns3="c781fcaa-52e1-4021-a8d3-b66c85bc600e" xmlns:ns4="28d24b8f-29f2-49ca-aa5b-dbde2d94cf9c" targetNamespace="http://schemas.microsoft.com/office/2006/metadata/properties" ma:root="true" ma:fieldsID="a54e4d1125c06d42656c0fbccaac3ad9" ns3:_="" ns4:_="">
    <xsd:import namespace="c781fcaa-52e1-4021-a8d3-b66c85bc600e"/>
    <xsd:import namespace="28d24b8f-29f2-49ca-aa5b-dbde2d94cf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C907C-D5A3-479D-9DFD-AFB766D4A2B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A54D4E6-B126-47A0-9773-68D5EA2A5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fcaa-52e1-4021-a8d3-b66c85bc600e"/>
    <ds:schemaRef ds:uri="28d24b8f-29f2-49ca-aa5b-dbde2d94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E2FB8-C806-414D-A40F-5B8F52F69E51}">
  <ds:schemaRefs>
    <ds:schemaRef ds:uri="http://schemas.microsoft.com/sharepoint/v3/contenttype/forms"/>
  </ds:schemaRefs>
</ds:datastoreItem>
</file>

<file path=customXml/itemProps4.xml><?xml version="1.0" encoding="utf-8"?>
<ds:datastoreItem xmlns:ds="http://schemas.openxmlformats.org/officeDocument/2006/customXml" ds:itemID="{BC72A47D-CDE2-4A78-84EA-832AB38A50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8379</Characters>
  <Application>Microsoft Office Word</Application>
  <DocSecurity>0</DocSecurity>
  <Lines>69</Lines>
  <Paragraphs>19</Paragraphs>
  <ScaleCrop>false</ScaleCrop>
  <Company>Department for Communities and Local Government</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Baker, Karen</dc:creator>
  <cp:lastModifiedBy>Sarah Housden</cp:lastModifiedBy>
  <cp:revision>2</cp:revision>
  <cp:lastPrinted>2020-12-09T17:36:00Z</cp:lastPrinted>
  <dcterms:created xsi:type="dcterms:W3CDTF">2022-03-14T12:20:00Z</dcterms:created>
  <dcterms:modified xsi:type="dcterms:W3CDTF">2022-03-14T12:20:00Z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5e6a8ba7-47b2-406e-b415-4ff3cd235629</vt:lpwstr>
  </property>
  <property fmtid="{D5CDD505-2E9C-101B-9397-08002B2CF9AE}" pid="3" name="bjSaver">
    <vt:lpwstr>YdN1IDavyyAbVgzb1X8xBeqPtK9V011a</vt:lpwstr>
  </property>
  <property fmtid="{D5CDD505-2E9C-101B-9397-08002B2CF9AE}" pid="4" name="bjDocumentSecurityLabel">
    <vt:lpwstr>No Marking</vt:lpwstr>
  </property>
  <property fmtid="{D5CDD505-2E9C-101B-9397-08002B2CF9AE}" pid="5" name="ContentTypeId">
    <vt:lpwstr>0x010100A1499A5744D14B4B92DD49B2C7BC5F6E</vt:lpwstr>
  </property>
</Properties>
</file>