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920D" w14:textId="77777777" w:rsidR="000671DC" w:rsidRPr="000671DC" w:rsidRDefault="000671DC" w:rsidP="000671DC">
      <w:pPr>
        <w:spacing w:after="200" w:line="276" w:lineRule="auto"/>
        <w:jc w:val="center"/>
        <w:rPr>
          <w:rFonts w:ascii="Verdana" w:eastAsia="Calibri" w:hAnsi="Verdana" w:cs="Times New Roman"/>
          <w:b/>
          <w:sz w:val="32"/>
          <w:szCs w:val="32"/>
        </w:rPr>
      </w:pPr>
      <w:r w:rsidRPr="000671DC">
        <w:rPr>
          <w:rFonts w:ascii="Verdana" w:eastAsia="Calibri" w:hAnsi="Verdana" w:cs="Times New Roman"/>
          <w:b/>
          <w:sz w:val="32"/>
          <w:szCs w:val="32"/>
        </w:rPr>
        <w:t xml:space="preserve">Waltham Forest Local Plan LP1 </w:t>
      </w:r>
    </w:p>
    <w:p w14:paraId="0D0CD524" w14:textId="21BB1BC1" w:rsidR="000671DC" w:rsidRPr="000671DC" w:rsidRDefault="000671DC" w:rsidP="000671DC">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 xml:space="preserve">Examination Hearing Day </w:t>
      </w:r>
      <w:r w:rsidR="00964402">
        <w:rPr>
          <w:rFonts w:ascii="Verdana" w:eastAsia="Calibri" w:hAnsi="Verdana" w:cs="Times New Roman"/>
          <w:b/>
          <w:sz w:val="24"/>
          <w:szCs w:val="24"/>
        </w:rPr>
        <w:t>5</w:t>
      </w:r>
      <w:r w:rsidRPr="000671DC">
        <w:rPr>
          <w:rFonts w:ascii="Verdana" w:eastAsia="Calibri" w:hAnsi="Verdana" w:cs="Times New Roman"/>
          <w:b/>
          <w:sz w:val="24"/>
          <w:szCs w:val="24"/>
        </w:rPr>
        <w:t xml:space="preserve"> </w:t>
      </w:r>
      <w:r w:rsidR="00C8007A">
        <w:rPr>
          <w:rFonts w:ascii="Verdana" w:eastAsia="Calibri" w:hAnsi="Verdana" w:cs="Times New Roman"/>
          <w:b/>
          <w:sz w:val="24"/>
          <w:szCs w:val="24"/>
        </w:rPr>
        <w:t>–</w:t>
      </w:r>
      <w:r w:rsidRPr="000671DC">
        <w:rPr>
          <w:rFonts w:ascii="Verdana" w:eastAsia="Calibri" w:hAnsi="Verdana" w:cs="Times New Roman"/>
          <w:b/>
          <w:sz w:val="24"/>
          <w:szCs w:val="24"/>
        </w:rPr>
        <w:t xml:space="preserve"> </w:t>
      </w:r>
      <w:r w:rsidR="00BA0B3B">
        <w:rPr>
          <w:rFonts w:ascii="Verdana" w:eastAsia="Calibri" w:hAnsi="Verdana" w:cs="Times New Roman"/>
          <w:b/>
          <w:sz w:val="24"/>
          <w:szCs w:val="24"/>
        </w:rPr>
        <w:t xml:space="preserve">Matter </w:t>
      </w:r>
      <w:r w:rsidR="00887ED7">
        <w:rPr>
          <w:rFonts w:ascii="Verdana" w:eastAsia="Calibri" w:hAnsi="Verdana" w:cs="Times New Roman"/>
          <w:b/>
          <w:sz w:val="24"/>
          <w:szCs w:val="24"/>
        </w:rPr>
        <w:t>6</w:t>
      </w:r>
      <w:r w:rsidR="00BA0B3B">
        <w:rPr>
          <w:rFonts w:ascii="Verdana" w:eastAsia="Calibri" w:hAnsi="Verdana" w:cs="Times New Roman"/>
          <w:b/>
          <w:sz w:val="24"/>
          <w:szCs w:val="24"/>
        </w:rPr>
        <w:t xml:space="preserve"> </w:t>
      </w:r>
    </w:p>
    <w:p w14:paraId="40598671" w14:textId="031AC3DB" w:rsidR="000671DC" w:rsidRPr="000671DC" w:rsidRDefault="00964402" w:rsidP="000671DC">
      <w:pPr>
        <w:spacing w:after="200" w:line="276" w:lineRule="auto"/>
        <w:jc w:val="center"/>
        <w:rPr>
          <w:rFonts w:ascii="Verdana" w:eastAsia="Calibri" w:hAnsi="Verdana" w:cs="Times New Roman"/>
          <w:sz w:val="24"/>
          <w:szCs w:val="24"/>
        </w:rPr>
      </w:pPr>
      <w:r>
        <w:rPr>
          <w:rFonts w:ascii="Verdana" w:eastAsia="Calibri" w:hAnsi="Verdana" w:cs="Times New Roman"/>
          <w:sz w:val="24"/>
          <w:szCs w:val="24"/>
        </w:rPr>
        <w:t>Wedn</w:t>
      </w:r>
      <w:r w:rsidR="003A34FB">
        <w:rPr>
          <w:rFonts w:ascii="Verdana" w:eastAsia="Calibri" w:hAnsi="Verdana" w:cs="Times New Roman"/>
          <w:sz w:val="24"/>
          <w:szCs w:val="24"/>
        </w:rPr>
        <w:t>esday 2</w:t>
      </w:r>
      <w:r w:rsidR="00887ED7">
        <w:rPr>
          <w:rFonts w:ascii="Verdana" w:eastAsia="Calibri" w:hAnsi="Verdana" w:cs="Times New Roman"/>
          <w:sz w:val="24"/>
          <w:szCs w:val="24"/>
        </w:rPr>
        <w:t>3</w:t>
      </w:r>
      <w:r w:rsidR="000671DC" w:rsidRPr="000671DC">
        <w:rPr>
          <w:rFonts w:ascii="Verdana" w:eastAsia="Calibri" w:hAnsi="Verdana" w:cs="Times New Roman"/>
          <w:sz w:val="24"/>
          <w:szCs w:val="24"/>
        </w:rPr>
        <w:t xml:space="preserve"> March 2022 starting at </w:t>
      </w:r>
      <w:r w:rsidR="00BC1A1E">
        <w:rPr>
          <w:rFonts w:ascii="Verdana" w:eastAsia="Calibri" w:hAnsi="Verdana" w:cs="Times New Roman"/>
          <w:sz w:val="24"/>
          <w:szCs w:val="24"/>
        </w:rPr>
        <w:t>9.30am</w:t>
      </w:r>
    </w:p>
    <w:p w14:paraId="710A7879" w14:textId="7CC229A1" w:rsidR="003A34FB" w:rsidRPr="000671DC" w:rsidRDefault="000671DC" w:rsidP="00395A4A">
      <w:pPr>
        <w:spacing w:after="200" w:line="276" w:lineRule="auto"/>
        <w:jc w:val="center"/>
        <w:rPr>
          <w:rFonts w:ascii="Verdana" w:eastAsia="Calibri" w:hAnsi="Verdana" w:cs="Times New Roman"/>
          <w:b/>
          <w:sz w:val="24"/>
          <w:szCs w:val="24"/>
        </w:rPr>
      </w:pPr>
      <w:r w:rsidRPr="000671DC">
        <w:rPr>
          <w:rFonts w:ascii="Verdana" w:eastAsia="Calibri" w:hAnsi="Verdana" w:cs="Times New Roman"/>
          <w:b/>
          <w:sz w:val="24"/>
          <w:szCs w:val="24"/>
        </w:rPr>
        <w:t>Agenda</w:t>
      </w:r>
    </w:p>
    <w:tbl>
      <w:tblPr>
        <w:tblStyle w:val="TableGrid"/>
        <w:tblW w:w="0" w:type="auto"/>
        <w:tblLook w:val="04A0" w:firstRow="1" w:lastRow="0" w:firstColumn="1" w:lastColumn="0" w:noHBand="0" w:noVBand="1"/>
      </w:tblPr>
      <w:tblGrid>
        <w:gridCol w:w="9016"/>
      </w:tblGrid>
      <w:tr w:rsidR="000671DC" w:rsidRPr="000671DC" w14:paraId="37D40D57" w14:textId="77777777" w:rsidTr="1B1BE40E">
        <w:trPr>
          <w:trHeight w:val="3409"/>
        </w:trPr>
        <w:tc>
          <w:tcPr>
            <w:tcW w:w="9016" w:type="dxa"/>
          </w:tcPr>
          <w:p w14:paraId="7913F88F" w14:textId="77777777" w:rsidR="000671DC" w:rsidRPr="000671DC" w:rsidRDefault="000671DC" w:rsidP="1B1BE40E">
            <w:pPr>
              <w:rPr>
                <w:rFonts w:eastAsia="Calibri" w:cs="Times New Roman"/>
                <w:sz w:val="24"/>
                <w:szCs w:val="24"/>
              </w:rPr>
            </w:pPr>
            <w:r w:rsidRPr="1B1BE40E">
              <w:rPr>
                <w:rFonts w:eastAsia="Calibri" w:cs="Times New Roman"/>
                <w:sz w:val="24"/>
                <w:szCs w:val="24"/>
              </w:rPr>
              <w:t>Please Note:</w:t>
            </w:r>
          </w:p>
          <w:p w14:paraId="0E336E41" w14:textId="77777777" w:rsidR="000671DC" w:rsidRPr="000671DC" w:rsidRDefault="000671DC" w:rsidP="1B1BE40E">
            <w:pPr>
              <w:rPr>
                <w:rFonts w:eastAsia="Calibri" w:cs="Times New Roman"/>
                <w:sz w:val="24"/>
                <w:szCs w:val="24"/>
              </w:rPr>
            </w:pPr>
          </w:p>
          <w:p w14:paraId="66196118" w14:textId="77777777" w:rsidR="000671DC" w:rsidRPr="000671DC" w:rsidRDefault="000671DC" w:rsidP="1B1BE40E">
            <w:pPr>
              <w:numPr>
                <w:ilvl w:val="0"/>
                <w:numId w:val="1"/>
              </w:numPr>
              <w:contextualSpacing/>
              <w:rPr>
                <w:rFonts w:eastAsia="Calibri" w:cs="Times New Roman"/>
                <w:sz w:val="24"/>
                <w:szCs w:val="24"/>
              </w:rPr>
            </w:pPr>
            <w:r w:rsidRPr="1B1BE40E">
              <w:rPr>
                <w:rFonts w:eastAsia="Calibri" w:cs="Times New Roman"/>
                <w:sz w:val="24"/>
                <w:szCs w:val="24"/>
              </w:rPr>
              <w:t>All participants are encouraged to familiarise themselves with the Hearing Statements (and any relevant evidence) produced by the Council and other parties in respect of the matters addressed at this session.  These are available on the examination website.</w:t>
            </w:r>
          </w:p>
          <w:p w14:paraId="76AEB95F" w14:textId="77777777" w:rsidR="000671DC" w:rsidRPr="000671DC" w:rsidRDefault="000671DC" w:rsidP="1B1BE40E">
            <w:pPr>
              <w:ind w:left="360"/>
              <w:contextualSpacing/>
              <w:rPr>
                <w:rFonts w:eastAsia="Calibri" w:cs="Times New Roman"/>
                <w:sz w:val="24"/>
                <w:szCs w:val="24"/>
              </w:rPr>
            </w:pPr>
          </w:p>
          <w:p w14:paraId="280A61AE" w14:textId="3C294B91" w:rsidR="000671DC" w:rsidRPr="000671DC" w:rsidRDefault="40C9CFB7" w:rsidP="1B1BE40E">
            <w:pPr>
              <w:numPr>
                <w:ilvl w:val="0"/>
                <w:numId w:val="1"/>
              </w:numPr>
              <w:contextualSpacing/>
              <w:rPr>
                <w:rFonts w:eastAsia="Calibri" w:cs="Times New Roman"/>
                <w:sz w:val="24"/>
                <w:szCs w:val="24"/>
              </w:rPr>
            </w:pPr>
            <w:r w:rsidRPr="1B1BE40E">
              <w:rPr>
                <w:rFonts w:eastAsia="Calibri" w:cs="Times New Roman"/>
                <w:sz w:val="24"/>
                <w:szCs w:val="24"/>
              </w:rPr>
              <w:t>The Matters, Issues and Questions are attached for ease of reference.</w:t>
            </w:r>
            <w:r w:rsidR="000671DC" w:rsidRPr="1B1BE40E">
              <w:rPr>
                <w:rFonts w:eastAsia="Calibri" w:cs="Times New Roman"/>
                <w:sz w:val="24"/>
                <w:szCs w:val="24"/>
              </w:rPr>
              <w:t xml:space="preserve">  The areas for discussion relate to points on which the Inspectors require further information or clarification.</w:t>
            </w:r>
          </w:p>
          <w:p w14:paraId="315226E7" w14:textId="77777777" w:rsidR="000671DC" w:rsidRPr="000671DC" w:rsidRDefault="000671DC" w:rsidP="1B1BE40E">
            <w:pPr>
              <w:ind w:left="720"/>
              <w:contextualSpacing/>
              <w:rPr>
                <w:rFonts w:eastAsia="Calibri" w:cs="Times New Roman"/>
                <w:sz w:val="24"/>
                <w:szCs w:val="24"/>
              </w:rPr>
            </w:pPr>
          </w:p>
          <w:p w14:paraId="4188CAAC" w14:textId="7E7C7517" w:rsidR="000671DC" w:rsidRPr="004F3673" w:rsidRDefault="000671DC" w:rsidP="1B1BE40E">
            <w:pPr>
              <w:numPr>
                <w:ilvl w:val="0"/>
                <w:numId w:val="1"/>
              </w:numPr>
              <w:contextualSpacing/>
              <w:rPr>
                <w:rFonts w:eastAsia="Calibri" w:cs="Times New Roman"/>
                <w:sz w:val="24"/>
                <w:szCs w:val="24"/>
              </w:rPr>
            </w:pPr>
            <w:r w:rsidRPr="1B1BE40E">
              <w:rPr>
                <w:rFonts w:eastAsia="Calibri" w:cs="Times New Roman"/>
                <w:sz w:val="24"/>
                <w:szCs w:val="24"/>
              </w:rPr>
              <w:t xml:space="preserve">The morning hearing session will finish no later than 1pm, including a mid-morning break.  </w:t>
            </w:r>
          </w:p>
        </w:tc>
      </w:tr>
    </w:tbl>
    <w:p w14:paraId="533C69DF" w14:textId="77777777" w:rsidR="003A34FB" w:rsidRDefault="003A34FB" w:rsidP="003A34FB">
      <w:pPr>
        <w:spacing w:after="200" w:line="276" w:lineRule="auto"/>
        <w:contextualSpacing/>
        <w:rPr>
          <w:rFonts w:ascii="Verdana" w:eastAsia="Calibri" w:hAnsi="Verdana" w:cs="Times New Roman"/>
          <w:b/>
        </w:rPr>
      </w:pPr>
    </w:p>
    <w:p w14:paraId="0C530B29" w14:textId="1A817E39" w:rsidR="000671DC" w:rsidRDefault="000671DC" w:rsidP="1B1BE40E">
      <w:pPr>
        <w:numPr>
          <w:ilvl w:val="0"/>
          <w:numId w:val="2"/>
        </w:numPr>
        <w:spacing w:after="200" w:line="276" w:lineRule="auto"/>
        <w:contextualSpacing/>
        <w:rPr>
          <w:rFonts w:ascii="Verdana" w:eastAsia="Calibri" w:hAnsi="Verdana" w:cs="Times New Roman"/>
          <w:b/>
          <w:bCs/>
          <w:sz w:val="24"/>
          <w:szCs w:val="24"/>
        </w:rPr>
      </w:pPr>
      <w:r w:rsidRPr="1B1BE40E">
        <w:rPr>
          <w:rFonts w:ascii="Verdana" w:eastAsia="Calibri" w:hAnsi="Verdana" w:cs="Times New Roman"/>
          <w:b/>
          <w:bCs/>
          <w:sz w:val="24"/>
          <w:szCs w:val="24"/>
        </w:rPr>
        <w:t>Inspectors’ Welcome and Introductions (5-10 minutes)</w:t>
      </w:r>
    </w:p>
    <w:p w14:paraId="1CE78AA1" w14:textId="527E6111" w:rsidR="000671DC" w:rsidRDefault="000671DC" w:rsidP="1B1BE40E">
      <w:pPr>
        <w:spacing w:after="200" w:line="276" w:lineRule="auto"/>
        <w:contextualSpacing/>
        <w:rPr>
          <w:rFonts w:ascii="Verdana" w:eastAsia="Calibri" w:hAnsi="Verdana" w:cs="Times New Roman"/>
          <w:b/>
          <w:bCs/>
          <w:sz w:val="24"/>
          <w:szCs w:val="24"/>
        </w:rPr>
      </w:pPr>
    </w:p>
    <w:p w14:paraId="5D1088D0" w14:textId="028B1399" w:rsidR="000671DC" w:rsidRDefault="003A34FB" w:rsidP="1B1BE40E">
      <w:pPr>
        <w:numPr>
          <w:ilvl w:val="0"/>
          <w:numId w:val="2"/>
        </w:numPr>
        <w:spacing w:after="200" w:line="276" w:lineRule="auto"/>
        <w:contextualSpacing/>
        <w:rPr>
          <w:b/>
          <w:bCs/>
          <w:sz w:val="24"/>
          <w:szCs w:val="24"/>
        </w:rPr>
      </w:pPr>
      <w:r w:rsidRPr="1B1BE40E">
        <w:rPr>
          <w:rFonts w:ascii="Verdana" w:eastAsia="Calibri" w:hAnsi="Verdana" w:cs="Times New Roman"/>
          <w:b/>
          <w:bCs/>
          <w:sz w:val="24"/>
          <w:szCs w:val="24"/>
        </w:rPr>
        <w:t xml:space="preserve">Matter </w:t>
      </w:r>
      <w:r w:rsidR="00BC1A1E" w:rsidRPr="1B1BE40E">
        <w:rPr>
          <w:rFonts w:ascii="Verdana" w:eastAsia="Calibri" w:hAnsi="Verdana" w:cs="Times New Roman"/>
          <w:b/>
          <w:bCs/>
          <w:sz w:val="24"/>
          <w:szCs w:val="24"/>
        </w:rPr>
        <w:t>6</w:t>
      </w:r>
      <w:r w:rsidRPr="1B1BE40E">
        <w:rPr>
          <w:rFonts w:ascii="Verdana" w:eastAsia="Calibri" w:hAnsi="Verdana" w:cs="Times New Roman"/>
          <w:b/>
          <w:bCs/>
          <w:sz w:val="24"/>
          <w:szCs w:val="24"/>
        </w:rPr>
        <w:t xml:space="preserve">: </w:t>
      </w:r>
      <w:r w:rsidR="00BC1A1E" w:rsidRPr="1B1BE40E">
        <w:rPr>
          <w:rFonts w:ascii="Verdana" w:eastAsia="Calibri" w:hAnsi="Verdana" w:cs="Times New Roman"/>
          <w:b/>
          <w:bCs/>
          <w:sz w:val="24"/>
          <w:szCs w:val="24"/>
        </w:rPr>
        <w:t>Built Environment, Heritage and Design</w:t>
      </w:r>
    </w:p>
    <w:p w14:paraId="3A193101" w14:textId="77777777" w:rsidR="000E4E57" w:rsidRPr="000E4E57" w:rsidRDefault="000E4E57" w:rsidP="5F9590E0">
      <w:pPr>
        <w:spacing w:after="200" w:line="276" w:lineRule="auto"/>
        <w:contextualSpacing/>
        <w:rPr>
          <w:rFonts w:ascii="Verdana" w:eastAsia="Calibri" w:hAnsi="Verdana" w:cs="Times New Roman"/>
          <w:b/>
          <w:bCs/>
          <w:sz w:val="24"/>
          <w:szCs w:val="24"/>
          <w:u w:val="single"/>
        </w:rPr>
      </w:pPr>
    </w:p>
    <w:p w14:paraId="138A3CD9" w14:textId="69BF4930" w:rsidR="000E4E57" w:rsidRPr="00E24EF2" w:rsidRDefault="000E4E57" w:rsidP="5F9590E0">
      <w:pPr>
        <w:spacing w:after="200" w:line="276" w:lineRule="auto"/>
        <w:rPr>
          <w:rFonts w:ascii="Verdana" w:eastAsia="Calibri" w:hAnsi="Verdana" w:cs="Times New Roman"/>
          <w:b/>
          <w:bCs/>
          <w:sz w:val="24"/>
          <w:szCs w:val="24"/>
        </w:rPr>
      </w:pPr>
      <w:r w:rsidRPr="5F9590E0">
        <w:rPr>
          <w:rFonts w:ascii="Verdana" w:eastAsia="Calibri" w:hAnsi="Verdana" w:cs="Times New Roman"/>
          <w:b/>
          <w:bCs/>
          <w:sz w:val="24"/>
          <w:szCs w:val="24"/>
        </w:rPr>
        <w:t>Key Documents</w:t>
      </w:r>
    </w:p>
    <w:p w14:paraId="21D3804C" w14:textId="4048EB86" w:rsidR="000E4E57" w:rsidRPr="00E24EF2" w:rsidRDefault="00615E19" w:rsidP="5F9590E0">
      <w:pPr>
        <w:spacing w:after="0" w:line="240" w:lineRule="auto"/>
        <w:rPr>
          <w:rFonts w:ascii="Verdana" w:eastAsia="Calibri" w:hAnsi="Verdana" w:cs="Times New Roman"/>
          <w:sz w:val="24"/>
          <w:szCs w:val="24"/>
        </w:rPr>
      </w:pPr>
      <w:r w:rsidRPr="5F9590E0">
        <w:rPr>
          <w:rFonts w:ascii="Verdana" w:eastAsia="Calibri" w:hAnsi="Verdana" w:cs="Times New Roman"/>
          <w:sz w:val="24"/>
          <w:szCs w:val="24"/>
        </w:rPr>
        <w:t>Waltham Forest Character and Intensification Study (</w:t>
      </w:r>
      <w:r w:rsidR="00D511A3" w:rsidRPr="5F9590E0">
        <w:rPr>
          <w:rFonts w:ascii="Verdana" w:eastAsia="Calibri" w:hAnsi="Verdana" w:cs="Times New Roman"/>
          <w:sz w:val="24"/>
          <w:szCs w:val="24"/>
        </w:rPr>
        <w:t>EB2.1)</w:t>
      </w:r>
    </w:p>
    <w:p w14:paraId="7D1F3981" w14:textId="2081C393" w:rsidR="00D511A3" w:rsidRDefault="00651155" w:rsidP="5F9590E0">
      <w:pPr>
        <w:spacing w:after="0" w:line="240" w:lineRule="auto"/>
        <w:rPr>
          <w:rFonts w:ascii="Verdana" w:eastAsia="Calibri" w:hAnsi="Verdana" w:cs="Times New Roman"/>
          <w:sz w:val="24"/>
          <w:szCs w:val="24"/>
        </w:rPr>
      </w:pPr>
      <w:r w:rsidRPr="5F9590E0">
        <w:rPr>
          <w:rFonts w:ascii="Verdana" w:eastAsia="Calibri" w:hAnsi="Verdana" w:cs="Times New Roman"/>
          <w:sz w:val="24"/>
          <w:szCs w:val="24"/>
        </w:rPr>
        <w:t>Waltham Forest Green and Blue Infrastructure Study (EB</w:t>
      </w:r>
      <w:r w:rsidR="004F3673" w:rsidRPr="5F9590E0">
        <w:rPr>
          <w:rFonts w:ascii="Verdana" w:eastAsia="Calibri" w:hAnsi="Verdana" w:cs="Times New Roman"/>
          <w:sz w:val="24"/>
          <w:szCs w:val="24"/>
        </w:rPr>
        <w:t>8.10)</w:t>
      </w:r>
    </w:p>
    <w:p w14:paraId="770772BF" w14:textId="161899C7" w:rsidR="00A03F0A" w:rsidRDefault="00A03F0A" w:rsidP="5F9590E0">
      <w:pPr>
        <w:spacing w:after="0" w:line="240" w:lineRule="auto"/>
        <w:rPr>
          <w:rFonts w:ascii="Verdana" w:eastAsia="Calibri" w:hAnsi="Verdana" w:cs="Times New Roman"/>
          <w:sz w:val="24"/>
          <w:szCs w:val="24"/>
        </w:rPr>
      </w:pPr>
      <w:r w:rsidRPr="5F9590E0">
        <w:rPr>
          <w:rFonts w:ascii="Verdana" w:eastAsia="Calibri" w:hAnsi="Verdana" w:cs="Times New Roman"/>
          <w:sz w:val="24"/>
          <w:szCs w:val="24"/>
        </w:rPr>
        <w:t>Modifications Table (LPE 5)</w:t>
      </w:r>
    </w:p>
    <w:p w14:paraId="707A5CCD" w14:textId="77777777" w:rsidR="004F3673" w:rsidRPr="00615E19" w:rsidRDefault="004F3673" w:rsidP="5F9590E0">
      <w:pPr>
        <w:spacing w:after="0" w:line="240" w:lineRule="auto"/>
        <w:rPr>
          <w:rFonts w:ascii="Verdana" w:eastAsia="Calibri" w:hAnsi="Verdana" w:cs="Times New Roman"/>
          <w:sz w:val="24"/>
          <w:szCs w:val="24"/>
        </w:rPr>
      </w:pPr>
    </w:p>
    <w:p w14:paraId="74D402AE" w14:textId="77777777" w:rsidR="000671DC" w:rsidRDefault="000671DC" w:rsidP="000671DC">
      <w:pPr>
        <w:spacing w:after="200" w:line="276" w:lineRule="auto"/>
        <w:ind w:left="360"/>
        <w:contextualSpacing/>
        <w:rPr>
          <w:rFonts w:ascii="Verdana" w:eastAsia="Calibri" w:hAnsi="Verdana" w:cs="Times New Roman"/>
          <w:b/>
        </w:rPr>
      </w:pPr>
    </w:p>
    <w:p w14:paraId="03F3431E" w14:textId="15E5AAEF" w:rsidR="000671DC" w:rsidRDefault="000671DC" w:rsidP="1B1BE40E">
      <w:pPr>
        <w:numPr>
          <w:ilvl w:val="0"/>
          <w:numId w:val="2"/>
        </w:numPr>
        <w:spacing w:after="200" w:line="276" w:lineRule="auto"/>
        <w:contextualSpacing/>
        <w:rPr>
          <w:rFonts w:ascii="Verdana" w:eastAsia="Calibri" w:hAnsi="Verdana" w:cs="Times New Roman"/>
          <w:b/>
          <w:bCs/>
        </w:rPr>
      </w:pPr>
      <w:r w:rsidRPr="1B1BE40E">
        <w:rPr>
          <w:rFonts w:ascii="Verdana" w:eastAsia="Calibri" w:hAnsi="Verdana" w:cs="Times New Roman"/>
          <w:b/>
          <w:bCs/>
        </w:rPr>
        <w:t xml:space="preserve">Issue 1 - </w:t>
      </w:r>
      <w:r w:rsidR="00B4220D" w:rsidRPr="1B1BE40E">
        <w:rPr>
          <w:rFonts w:ascii="Verdana" w:hAnsi="Verdana"/>
          <w:b/>
          <w:bCs/>
          <w:sz w:val="24"/>
          <w:szCs w:val="24"/>
          <w:lang w:eastAsia="en-GB"/>
        </w:rPr>
        <w:t>Whether the Plan has been positively prepared and whether it is justified, effective, consistent with national policy, and in general conformity with the London Plan in relation to creating high quality places and preserving or enhancing the Borough’s heritage (Policies 56 - 61 and 72 - 78).</w:t>
      </w:r>
      <w:bookmarkStart w:id="0" w:name="_Hlk96695674"/>
    </w:p>
    <w:p w14:paraId="4877A35D" w14:textId="77777777" w:rsidR="00CE4ABC" w:rsidRPr="00CE4ABC" w:rsidRDefault="00CE4ABC" w:rsidP="00CE4ABC">
      <w:pPr>
        <w:spacing w:after="200" w:line="276" w:lineRule="auto"/>
        <w:contextualSpacing/>
        <w:rPr>
          <w:rFonts w:ascii="Verdana" w:eastAsia="Calibri" w:hAnsi="Verdana" w:cs="Times New Roman"/>
          <w:b/>
        </w:rPr>
      </w:pPr>
    </w:p>
    <w:p w14:paraId="698C46E9" w14:textId="77777777" w:rsidR="000671DC" w:rsidRPr="001425B0" w:rsidRDefault="000671DC" w:rsidP="1B1BE40E">
      <w:pPr>
        <w:spacing w:after="200" w:line="276" w:lineRule="auto"/>
        <w:rPr>
          <w:rFonts w:ascii="Verdana" w:eastAsia="Calibri" w:hAnsi="Verdana" w:cs="Times New Roman"/>
          <w:i/>
          <w:iCs/>
          <w:sz w:val="24"/>
          <w:szCs w:val="24"/>
        </w:rPr>
      </w:pPr>
      <w:r w:rsidRPr="1B1BE40E">
        <w:rPr>
          <w:rFonts w:ascii="Verdana" w:eastAsia="Calibri" w:hAnsi="Verdana" w:cs="Times New Roman"/>
          <w:i/>
          <w:iCs/>
          <w:sz w:val="24"/>
          <w:szCs w:val="24"/>
        </w:rPr>
        <w:t>Key areas for discussion:</w:t>
      </w:r>
    </w:p>
    <w:p w14:paraId="458936E8" w14:textId="3158CEE0" w:rsidR="000671DC" w:rsidRPr="001425B0" w:rsidRDefault="00F02F15" w:rsidP="1B1BE40E">
      <w:pPr>
        <w:numPr>
          <w:ilvl w:val="0"/>
          <w:numId w:val="3"/>
        </w:numPr>
        <w:spacing w:after="200" w:line="276" w:lineRule="auto"/>
        <w:contextualSpacing/>
        <w:rPr>
          <w:rFonts w:ascii="Verdana" w:eastAsia="Calibri" w:hAnsi="Verdana" w:cs="Times New Roman"/>
          <w:sz w:val="24"/>
          <w:szCs w:val="24"/>
        </w:rPr>
      </w:pPr>
      <w:r w:rsidRPr="1B1BE40E">
        <w:rPr>
          <w:rFonts w:ascii="Verdana" w:eastAsia="Calibri" w:hAnsi="Verdana" w:cs="Times New Roman"/>
          <w:sz w:val="24"/>
          <w:szCs w:val="24"/>
        </w:rPr>
        <w:t>D</w:t>
      </w:r>
      <w:r w:rsidR="00127739" w:rsidRPr="1B1BE40E">
        <w:rPr>
          <w:rFonts w:ascii="Verdana" w:eastAsia="Calibri" w:hAnsi="Verdana" w:cs="Times New Roman"/>
          <w:sz w:val="24"/>
          <w:szCs w:val="24"/>
        </w:rPr>
        <w:t>elivering high quality design</w:t>
      </w:r>
      <w:r w:rsidR="00BB30E2" w:rsidRPr="1B1BE40E">
        <w:rPr>
          <w:rFonts w:ascii="Verdana" w:eastAsia="Calibri" w:hAnsi="Verdana" w:cs="Times New Roman"/>
          <w:sz w:val="24"/>
          <w:szCs w:val="24"/>
        </w:rPr>
        <w:t xml:space="preserve"> </w:t>
      </w:r>
      <w:r w:rsidRPr="1B1BE40E">
        <w:rPr>
          <w:rFonts w:ascii="Verdana" w:eastAsia="Calibri" w:hAnsi="Verdana" w:cs="Times New Roman"/>
          <w:sz w:val="24"/>
          <w:szCs w:val="24"/>
        </w:rPr>
        <w:t>including</w:t>
      </w:r>
      <w:r w:rsidR="00127739" w:rsidRPr="1B1BE40E">
        <w:rPr>
          <w:rFonts w:ascii="Verdana" w:eastAsia="Calibri" w:hAnsi="Verdana" w:cs="Times New Roman"/>
          <w:sz w:val="24"/>
          <w:szCs w:val="24"/>
        </w:rPr>
        <w:t xml:space="preserve"> </w:t>
      </w:r>
      <w:r w:rsidR="00166A42" w:rsidRPr="1B1BE40E">
        <w:rPr>
          <w:rFonts w:ascii="Verdana" w:eastAsia="Calibri" w:hAnsi="Verdana" w:cs="Times New Roman"/>
          <w:sz w:val="24"/>
          <w:szCs w:val="24"/>
        </w:rPr>
        <w:t>consistency with national policy</w:t>
      </w:r>
      <w:r w:rsidR="000671DC" w:rsidRPr="1B1BE40E">
        <w:rPr>
          <w:rFonts w:ascii="Verdana" w:eastAsia="Calibri" w:hAnsi="Verdana" w:cs="Times New Roman"/>
          <w:sz w:val="24"/>
          <w:szCs w:val="24"/>
        </w:rPr>
        <w:t xml:space="preserve"> (</w:t>
      </w:r>
      <w:r w:rsidR="001425B0" w:rsidRPr="1B1BE40E">
        <w:rPr>
          <w:rFonts w:ascii="Verdana" w:eastAsia="Calibri" w:hAnsi="Verdana" w:cs="Times New Roman"/>
          <w:sz w:val="24"/>
          <w:szCs w:val="24"/>
        </w:rPr>
        <w:t xml:space="preserve">Focus on </w:t>
      </w:r>
      <w:r w:rsidR="000671DC" w:rsidRPr="1B1BE40E">
        <w:rPr>
          <w:rFonts w:ascii="Verdana" w:eastAsia="Calibri" w:hAnsi="Verdana" w:cs="Times New Roman"/>
          <w:sz w:val="24"/>
          <w:szCs w:val="24"/>
        </w:rPr>
        <w:t>Question</w:t>
      </w:r>
      <w:r w:rsidR="00BB30E2" w:rsidRPr="1B1BE40E">
        <w:rPr>
          <w:rFonts w:ascii="Verdana" w:eastAsia="Calibri" w:hAnsi="Verdana" w:cs="Times New Roman"/>
          <w:sz w:val="24"/>
          <w:szCs w:val="24"/>
        </w:rPr>
        <w:t>s</w:t>
      </w:r>
      <w:r w:rsidR="00166A42" w:rsidRPr="1B1BE40E">
        <w:rPr>
          <w:rFonts w:ascii="Verdana" w:eastAsia="Calibri" w:hAnsi="Verdana" w:cs="Times New Roman"/>
          <w:sz w:val="24"/>
          <w:szCs w:val="24"/>
        </w:rPr>
        <w:t xml:space="preserve"> 127</w:t>
      </w:r>
      <w:r w:rsidR="00BB30E2" w:rsidRPr="1B1BE40E">
        <w:rPr>
          <w:rFonts w:ascii="Verdana" w:eastAsia="Calibri" w:hAnsi="Verdana" w:cs="Times New Roman"/>
          <w:sz w:val="24"/>
          <w:szCs w:val="24"/>
        </w:rPr>
        <w:t xml:space="preserve">, </w:t>
      </w:r>
      <w:r w:rsidR="00D65FA1" w:rsidRPr="1B1BE40E">
        <w:rPr>
          <w:rFonts w:ascii="Verdana" w:eastAsia="Calibri" w:hAnsi="Verdana" w:cs="Times New Roman"/>
          <w:sz w:val="24"/>
          <w:szCs w:val="24"/>
        </w:rPr>
        <w:t>128</w:t>
      </w:r>
      <w:r w:rsidR="001425B0" w:rsidRPr="1B1BE40E">
        <w:rPr>
          <w:rFonts w:ascii="Verdana" w:eastAsia="Calibri" w:hAnsi="Verdana" w:cs="Times New Roman"/>
          <w:sz w:val="24"/>
          <w:szCs w:val="24"/>
        </w:rPr>
        <w:t>, 130</w:t>
      </w:r>
      <w:r w:rsidR="000671DC" w:rsidRPr="1B1BE40E">
        <w:rPr>
          <w:rFonts w:ascii="Verdana" w:eastAsia="Calibri" w:hAnsi="Verdana" w:cs="Times New Roman"/>
          <w:sz w:val="24"/>
          <w:szCs w:val="24"/>
        </w:rPr>
        <w:t>)</w:t>
      </w:r>
    </w:p>
    <w:p w14:paraId="5E0FF6FC" w14:textId="459D2273" w:rsidR="01C58FE9" w:rsidRDefault="01C58FE9" w:rsidP="1B1BE40E">
      <w:pPr>
        <w:spacing w:after="200" w:line="276" w:lineRule="auto"/>
        <w:contextualSpacing/>
        <w:rPr>
          <w:rFonts w:ascii="Verdana" w:eastAsia="Calibri" w:hAnsi="Verdana" w:cs="Times New Roman"/>
          <w:sz w:val="24"/>
          <w:szCs w:val="24"/>
        </w:rPr>
      </w:pPr>
    </w:p>
    <w:p w14:paraId="0C7EAB68" w14:textId="28C11B1B" w:rsidR="00D01C9E" w:rsidRDefault="00672EBE" w:rsidP="1B1BE40E">
      <w:pPr>
        <w:numPr>
          <w:ilvl w:val="0"/>
          <w:numId w:val="3"/>
        </w:numPr>
        <w:spacing w:after="200" w:line="276" w:lineRule="auto"/>
        <w:contextualSpacing/>
        <w:rPr>
          <w:rFonts w:ascii="Verdana" w:eastAsia="Calibri" w:hAnsi="Verdana" w:cs="Times New Roman"/>
          <w:sz w:val="24"/>
          <w:szCs w:val="24"/>
        </w:rPr>
      </w:pPr>
      <w:r w:rsidRPr="1B1BE40E">
        <w:rPr>
          <w:rFonts w:ascii="Verdana" w:eastAsia="Calibri" w:hAnsi="Verdana" w:cs="Times New Roman"/>
          <w:sz w:val="24"/>
          <w:szCs w:val="24"/>
        </w:rPr>
        <w:t>Tall and taller buildings</w:t>
      </w:r>
      <w:r w:rsidR="00BE668E" w:rsidRPr="1B1BE40E">
        <w:rPr>
          <w:rFonts w:ascii="Verdana" w:eastAsia="Calibri" w:hAnsi="Verdana" w:cs="Times New Roman"/>
          <w:sz w:val="24"/>
          <w:szCs w:val="24"/>
        </w:rPr>
        <w:t xml:space="preserve"> including</w:t>
      </w:r>
      <w:r w:rsidRPr="1B1BE40E">
        <w:rPr>
          <w:rFonts w:ascii="Verdana" w:eastAsia="Calibri" w:hAnsi="Verdana" w:cs="Times New Roman"/>
          <w:sz w:val="24"/>
          <w:szCs w:val="24"/>
        </w:rPr>
        <w:t xml:space="preserve"> general conformity with the London Plan</w:t>
      </w:r>
      <w:r w:rsidR="004216A6" w:rsidRPr="1B1BE40E">
        <w:rPr>
          <w:rFonts w:ascii="Verdana" w:eastAsia="Calibri" w:hAnsi="Verdana" w:cs="Times New Roman"/>
          <w:sz w:val="24"/>
          <w:szCs w:val="24"/>
        </w:rPr>
        <w:t xml:space="preserve"> (Question</w:t>
      </w:r>
      <w:r w:rsidR="007D456A" w:rsidRPr="1B1BE40E">
        <w:rPr>
          <w:rFonts w:ascii="Verdana" w:eastAsia="Calibri" w:hAnsi="Verdana" w:cs="Times New Roman"/>
          <w:sz w:val="24"/>
          <w:szCs w:val="24"/>
        </w:rPr>
        <w:t>s 132, 133, 134, 135</w:t>
      </w:r>
      <w:r w:rsidR="004216A6" w:rsidRPr="1B1BE40E">
        <w:rPr>
          <w:rFonts w:ascii="Verdana" w:eastAsia="Calibri" w:hAnsi="Verdana" w:cs="Times New Roman"/>
          <w:sz w:val="24"/>
          <w:szCs w:val="24"/>
        </w:rPr>
        <w:t>)</w:t>
      </w:r>
    </w:p>
    <w:p w14:paraId="009E1FA6" w14:textId="253A473D" w:rsidR="01C58FE9" w:rsidRDefault="01C58FE9" w:rsidP="1B1BE40E">
      <w:pPr>
        <w:spacing w:after="200" w:line="276" w:lineRule="auto"/>
        <w:contextualSpacing/>
        <w:rPr>
          <w:rFonts w:ascii="Verdana" w:eastAsia="Calibri" w:hAnsi="Verdana" w:cs="Times New Roman"/>
          <w:sz w:val="24"/>
          <w:szCs w:val="24"/>
        </w:rPr>
      </w:pPr>
    </w:p>
    <w:p w14:paraId="7C99F8D6" w14:textId="4FCE7952" w:rsidR="007122C3" w:rsidRPr="007122C3" w:rsidRDefault="007122C3" w:rsidP="1B1BE40E">
      <w:pPr>
        <w:numPr>
          <w:ilvl w:val="0"/>
          <w:numId w:val="3"/>
        </w:numPr>
        <w:spacing w:after="200" w:line="276" w:lineRule="auto"/>
        <w:contextualSpacing/>
        <w:rPr>
          <w:rFonts w:ascii="Verdana" w:eastAsia="Calibri" w:hAnsi="Verdana" w:cs="Times New Roman"/>
          <w:sz w:val="24"/>
          <w:szCs w:val="24"/>
        </w:rPr>
      </w:pPr>
      <w:r w:rsidRPr="1B1BE40E">
        <w:rPr>
          <w:rFonts w:ascii="Verdana" w:eastAsia="Calibri" w:hAnsi="Verdana" w:cs="Times New Roman"/>
          <w:sz w:val="24"/>
          <w:szCs w:val="24"/>
        </w:rPr>
        <w:t>External space standards (Question 137)</w:t>
      </w:r>
    </w:p>
    <w:p w14:paraId="7CC18A7D" w14:textId="5639E422" w:rsidR="01C58FE9" w:rsidRDefault="01C58FE9" w:rsidP="1B1BE40E">
      <w:pPr>
        <w:spacing w:after="200" w:line="276" w:lineRule="auto"/>
        <w:contextualSpacing/>
        <w:rPr>
          <w:rFonts w:ascii="Verdana" w:eastAsia="Calibri" w:hAnsi="Verdana" w:cs="Times New Roman"/>
          <w:sz w:val="24"/>
          <w:szCs w:val="24"/>
        </w:rPr>
      </w:pPr>
    </w:p>
    <w:p w14:paraId="11F0D234" w14:textId="1339A96A" w:rsidR="00F02F15" w:rsidRPr="00A338DC" w:rsidRDefault="00F02F15" w:rsidP="1B1BE40E">
      <w:pPr>
        <w:numPr>
          <w:ilvl w:val="0"/>
          <w:numId w:val="3"/>
        </w:numPr>
        <w:spacing w:after="200" w:line="276" w:lineRule="auto"/>
        <w:contextualSpacing/>
        <w:rPr>
          <w:rFonts w:ascii="Verdana" w:eastAsia="Calibri" w:hAnsi="Verdana" w:cs="Times New Roman"/>
          <w:sz w:val="24"/>
          <w:szCs w:val="24"/>
        </w:rPr>
      </w:pPr>
      <w:r w:rsidRPr="1B1BE40E">
        <w:rPr>
          <w:rFonts w:ascii="Verdana" w:eastAsia="Calibri" w:hAnsi="Verdana" w:cs="Times New Roman"/>
          <w:sz w:val="24"/>
          <w:szCs w:val="24"/>
        </w:rPr>
        <w:t>Making safer places and designing out crime</w:t>
      </w:r>
      <w:r w:rsidR="002870A2" w:rsidRPr="1B1BE40E">
        <w:rPr>
          <w:rFonts w:ascii="Verdana" w:eastAsia="Calibri" w:hAnsi="Verdana" w:cs="Times New Roman"/>
          <w:sz w:val="24"/>
          <w:szCs w:val="24"/>
        </w:rPr>
        <w:t xml:space="preserve"> (Questions 139,</w:t>
      </w:r>
      <w:r w:rsidR="00F274D6" w:rsidRPr="1B1BE40E">
        <w:rPr>
          <w:rFonts w:ascii="Verdana" w:eastAsia="Calibri" w:hAnsi="Verdana" w:cs="Times New Roman"/>
          <w:sz w:val="24"/>
          <w:szCs w:val="24"/>
        </w:rPr>
        <w:t xml:space="preserve"> 140, 141</w:t>
      </w:r>
      <w:r w:rsidR="000B07E5" w:rsidRPr="1B1BE40E">
        <w:rPr>
          <w:rFonts w:ascii="Verdana" w:eastAsia="Calibri" w:hAnsi="Verdana" w:cs="Times New Roman"/>
          <w:sz w:val="24"/>
          <w:szCs w:val="24"/>
        </w:rPr>
        <w:t>)</w:t>
      </w:r>
    </w:p>
    <w:p w14:paraId="52F50D0E" w14:textId="07B12D03" w:rsidR="01C58FE9" w:rsidRDefault="01C58FE9" w:rsidP="1B1BE40E">
      <w:pPr>
        <w:spacing w:after="200" w:line="276" w:lineRule="auto"/>
        <w:contextualSpacing/>
        <w:rPr>
          <w:rFonts w:ascii="Verdana" w:eastAsia="Calibri" w:hAnsi="Verdana" w:cs="Times New Roman"/>
          <w:sz w:val="24"/>
          <w:szCs w:val="24"/>
        </w:rPr>
      </w:pPr>
    </w:p>
    <w:p w14:paraId="7247DAC8" w14:textId="7E7EE21E" w:rsidR="004216A6" w:rsidRPr="00A338DC" w:rsidRDefault="000B07E5" w:rsidP="1B1BE40E">
      <w:pPr>
        <w:numPr>
          <w:ilvl w:val="0"/>
          <w:numId w:val="3"/>
        </w:numPr>
        <w:spacing w:after="200" w:line="276" w:lineRule="auto"/>
        <w:contextualSpacing/>
        <w:rPr>
          <w:rFonts w:ascii="Verdana" w:eastAsia="Calibri" w:hAnsi="Verdana" w:cs="Times New Roman"/>
          <w:sz w:val="24"/>
          <w:szCs w:val="24"/>
        </w:rPr>
      </w:pPr>
      <w:r w:rsidRPr="1B1BE40E">
        <w:rPr>
          <w:rFonts w:ascii="Verdana" w:eastAsia="Calibri" w:hAnsi="Verdana" w:cs="Times New Roman"/>
          <w:sz w:val="24"/>
          <w:szCs w:val="24"/>
        </w:rPr>
        <w:t>H</w:t>
      </w:r>
      <w:r w:rsidR="00212995" w:rsidRPr="1B1BE40E">
        <w:rPr>
          <w:rFonts w:ascii="Verdana" w:eastAsia="Calibri" w:hAnsi="Verdana" w:cs="Times New Roman"/>
          <w:sz w:val="24"/>
          <w:szCs w:val="24"/>
        </w:rPr>
        <w:t>istoric environment</w:t>
      </w:r>
      <w:r w:rsidR="004216A6" w:rsidRPr="1B1BE40E">
        <w:rPr>
          <w:rFonts w:ascii="Verdana" w:eastAsia="Calibri" w:hAnsi="Verdana" w:cs="Times New Roman"/>
          <w:sz w:val="24"/>
          <w:szCs w:val="24"/>
        </w:rPr>
        <w:t xml:space="preserve"> (Question</w:t>
      </w:r>
      <w:r w:rsidR="00312CED" w:rsidRPr="1B1BE40E">
        <w:rPr>
          <w:rFonts w:ascii="Verdana" w:eastAsia="Calibri" w:hAnsi="Verdana" w:cs="Times New Roman"/>
          <w:sz w:val="24"/>
          <w:szCs w:val="24"/>
        </w:rPr>
        <w:t>s</w:t>
      </w:r>
      <w:r w:rsidR="004216A6" w:rsidRPr="1B1BE40E">
        <w:rPr>
          <w:rFonts w:ascii="Verdana" w:eastAsia="Calibri" w:hAnsi="Verdana" w:cs="Times New Roman"/>
          <w:sz w:val="24"/>
          <w:szCs w:val="24"/>
        </w:rPr>
        <w:t xml:space="preserve"> </w:t>
      </w:r>
      <w:r w:rsidR="00312CED" w:rsidRPr="1B1BE40E">
        <w:rPr>
          <w:rFonts w:ascii="Verdana" w:eastAsia="Calibri" w:hAnsi="Verdana" w:cs="Times New Roman"/>
          <w:sz w:val="24"/>
          <w:szCs w:val="24"/>
        </w:rPr>
        <w:t xml:space="preserve">143, 144, 145, </w:t>
      </w:r>
      <w:r w:rsidR="00A06B32" w:rsidRPr="1B1BE40E">
        <w:rPr>
          <w:rFonts w:ascii="Verdana" w:eastAsia="Calibri" w:hAnsi="Verdana" w:cs="Times New Roman"/>
          <w:sz w:val="24"/>
          <w:szCs w:val="24"/>
        </w:rPr>
        <w:t xml:space="preserve">146, </w:t>
      </w:r>
      <w:r w:rsidR="00CA6CAB" w:rsidRPr="1B1BE40E">
        <w:rPr>
          <w:rFonts w:ascii="Verdana" w:eastAsia="Calibri" w:hAnsi="Verdana" w:cs="Times New Roman"/>
          <w:sz w:val="24"/>
          <w:szCs w:val="24"/>
        </w:rPr>
        <w:t xml:space="preserve">147, </w:t>
      </w:r>
      <w:r w:rsidR="00A06B32" w:rsidRPr="1B1BE40E">
        <w:rPr>
          <w:rFonts w:ascii="Verdana" w:eastAsia="Calibri" w:hAnsi="Verdana" w:cs="Times New Roman"/>
          <w:sz w:val="24"/>
          <w:szCs w:val="24"/>
        </w:rPr>
        <w:t>148</w:t>
      </w:r>
      <w:r w:rsidR="00CA6CAB" w:rsidRPr="1B1BE40E">
        <w:rPr>
          <w:rFonts w:ascii="Verdana" w:eastAsia="Calibri" w:hAnsi="Verdana" w:cs="Times New Roman"/>
          <w:sz w:val="24"/>
          <w:szCs w:val="24"/>
        </w:rPr>
        <w:t xml:space="preserve">, </w:t>
      </w:r>
      <w:r w:rsidR="00AD133F" w:rsidRPr="1B1BE40E">
        <w:rPr>
          <w:rFonts w:ascii="Verdana" w:eastAsia="Calibri" w:hAnsi="Verdana" w:cs="Times New Roman"/>
          <w:sz w:val="24"/>
          <w:szCs w:val="24"/>
        </w:rPr>
        <w:t>149</w:t>
      </w:r>
      <w:r w:rsidR="0082678E" w:rsidRPr="1B1BE40E">
        <w:rPr>
          <w:rFonts w:ascii="Verdana" w:eastAsia="Calibri" w:hAnsi="Verdana" w:cs="Times New Roman"/>
          <w:sz w:val="24"/>
          <w:szCs w:val="24"/>
        </w:rPr>
        <w:t xml:space="preserve">, </w:t>
      </w:r>
      <w:r w:rsidR="00CA6CAB" w:rsidRPr="1B1BE40E">
        <w:rPr>
          <w:rFonts w:ascii="Verdana" w:eastAsia="Calibri" w:hAnsi="Verdana" w:cs="Times New Roman"/>
          <w:sz w:val="24"/>
          <w:szCs w:val="24"/>
        </w:rPr>
        <w:t>150</w:t>
      </w:r>
      <w:r w:rsidR="004216A6" w:rsidRPr="1B1BE40E">
        <w:rPr>
          <w:rFonts w:ascii="Verdana" w:eastAsia="Calibri" w:hAnsi="Verdana" w:cs="Times New Roman"/>
          <w:sz w:val="24"/>
          <w:szCs w:val="24"/>
        </w:rPr>
        <w:t>)</w:t>
      </w:r>
    </w:p>
    <w:bookmarkEnd w:id="0"/>
    <w:p w14:paraId="16F64F4E" w14:textId="77777777" w:rsidR="000671DC" w:rsidRPr="000671DC" w:rsidRDefault="000671DC" w:rsidP="1B1BE40E">
      <w:pPr>
        <w:spacing w:after="200" w:line="276" w:lineRule="auto"/>
        <w:contextualSpacing/>
        <w:rPr>
          <w:rFonts w:ascii="Verdana" w:eastAsia="Calibri" w:hAnsi="Verdana" w:cs="Times New Roman"/>
          <w:b/>
          <w:bCs/>
          <w:sz w:val="24"/>
          <w:szCs w:val="24"/>
          <w:u w:val="single"/>
        </w:rPr>
      </w:pPr>
    </w:p>
    <w:p w14:paraId="1825BA27" w14:textId="3A69E3EB" w:rsidR="000671DC" w:rsidRDefault="00DF4E68" w:rsidP="1B1BE40E">
      <w:pPr>
        <w:numPr>
          <w:ilvl w:val="0"/>
          <w:numId w:val="2"/>
        </w:numPr>
        <w:spacing w:after="200" w:line="276" w:lineRule="auto"/>
        <w:contextualSpacing/>
        <w:rPr>
          <w:rFonts w:ascii="Verdana" w:eastAsia="Calibri" w:hAnsi="Verdana" w:cs="Times New Roman"/>
          <w:b/>
          <w:bCs/>
          <w:sz w:val="24"/>
          <w:szCs w:val="24"/>
        </w:rPr>
      </w:pPr>
      <w:r w:rsidRPr="1B1BE40E">
        <w:rPr>
          <w:rFonts w:ascii="Verdana" w:eastAsia="Calibri" w:hAnsi="Verdana" w:cs="Times New Roman"/>
          <w:b/>
          <w:bCs/>
          <w:sz w:val="24"/>
          <w:szCs w:val="24"/>
        </w:rPr>
        <w:t xml:space="preserve">Review of Matter </w:t>
      </w:r>
      <w:r w:rsidR="0066719C" w:rsidRPr="1B1BE40E">
        <w:rPr>
          <w:rFonts w:ascii="Verdana" w:eastAsia="Calibri" w:hAnsi="Verdana" w:cs="Times New Roman"/>
          <w:b/>
          <w:bCs/>
          <w:sz w:val="24"/>
          <w:szCs w:val="24"/>
        </w:rPr>
        <w:t>6 m</w:t>
      </w:r>
      <w:r w:rsidR="000671DC" w:rsidRPr="1B1BE40E">
        <w:rPr>
          <w:rFonts w:ascii="Verdana" w:eastAsia="Calibri" w:hAnsi="Verdana" w:cs="Times New Roman"/>
          <w:b/>
          <w:bCs/>
          <w:sz w:val="24"/>
          <w:szCs w:val="24"/>
        </w:rPr>
        <w:t xml:space="preserve">ain </w:t>
      </w:r>
      <w:r w:rsidR="0066719C" w:rsidRPr="1B1BE40E">
        <w:rPr>
          <w:rFonts w:ascii="Verdana" w:eastAsia="Calibri" w:hAnsi="Verdana" w:cs="Times New Roman"/>
          <w:b/>
          <w:bCs/>
          <w:sz w:val="24"/>
          <w:szCs w:val="24"/>
        </w:rPr>
        <w:t>m</w:t>
      </w:r>
      <w:r w:rsidR="000671DC" w:rsidRPr="1B1BE40E">
        <w:rPr>
          <w:rFonts w:ascii="Verdana" w:eastAsia="Calibri" w:hAnsi="Verdana" w:cs="Times New Roman"/>
          <w:b/>
          <w:bCs/>
          <w:sz w:val="24"/>
          <w:szCs w:val="24"/>
        </w:rPr>
        <w:t>odifications</w:t>
      </w:r>
      <w:r w:rsidR="0066719C" w:rsidRPr="1B1BE40E">
        <w:rPr>
          <w:rFonts w:ascii="Verdana" w:eastAsia="Calibri" w:hAnsi="Verdana" w:cs="Times New Roman"/>
          <w:b/>
          <w:bCs/>
          <w:sz w:val="24"/>
          <w:szCs w:val="24"/>
        </w:rPr>
        <w:t xml:space="preserve"> necessary for </w:t>
      </w:r>
      <w:r w:rsidR="00A03F0A" w:rsidRPr="1B1BE40E">
        <w:rPr>
          <w:rFonts w:ascii="Verdana" w:eastAsia="Calibri" w:hAnsi="Verdana" w:cs="Times New Roman"/>
          <w:b/>
          <w:bCs/>
          <w:sz w:val="24"/>
          <w:szCs w:val="24"/>
        </w:rPr>
        <w:t>the soundness of the plan</w:t>
      </w:r>
    </w:p>
    <w:p w14:paraId="6D68685A" w14:textId="77777777" w:rsidR="000671DC" w:rsidRPr="000671DC" w:rsidRDefault="000671DC" w:rsidP="1B1BE40E">
      <w:pPr>
        <w:spacing w:after="200" w:line="276" w:lineRule="auto"/>
        <w:contextualSpacing/>
        <w:rPr>
          <w:rFonts w:ascii="Verdana" w:eastAsia="Calibri" w:hAnsi="Verdana" w:cs="Times New Roman"/>
          <w:sz w:val="24"/>
          <w:szCs w:val="24"/>
        </w:rPr>
      </w:pPr>
    </w:p>
    <w:p w14:paraId="597827D3" w14:textId="01F2C389" w:rsidR="000671DC" w:rsidRPr="000671DC" w:rsidRDefault="000671DC" w:rsidP="1B1BE40E">
      <w:pPr>
        <w:numPr>
          <w:ilvl w:val="0"/>
          <w:numId w:val="2"/>
        </w:numPr>
        <w:spacing w:after="200" w:line="276" w:lineRule="auto"/>
        <w:contextualSpacing/>
        <w:rPr>
          <w:rFonts w:ascii="Verdana" w:eastAsia="Calibri" w:hAnsi="Verdana" w:cs="Times New Roman"/>
          <w:b/>
          <w:bCs/>
          <w:sz w:val="24"/>
          <w:szCs w:val="24"/>
          <w:u w:val="single"/>
        </w:rPr>
      </w:pPr>
      <w:r w:rsidRPr="1B1BE40E">
        <w:rPr>
          <w:rFonts w:ascii="Verdana" w:eastAsia="Calibri" w:hAnsi="Verdana" w:cs="Times New Roman"/>
          <w:b/>
          <w:bCs/>
          <w:sz w:val="24"/>
          <w:szCs w:val="24"/>
        </w:rPr>
        <w:t xml:space="preserve">Close </w:t>
      </w:r>
    </w:p>
    <w:p w14:paraId="4E052D64" w14:textId="77777777" w:rsidR="00F2056F" w:rsidRDefault="00F2056F"/>
    <w:p w14:paraId="5912F5F6" w14:textId="04EB48B8" w:rsidR="00731DD6" w:rsidRDefault="00937ADE">
      <w:r>
        <w:br w:type="page"/>
      </w:r>
    </w:p>
    <w:p w14:paraId="4CD7123D" w14:textId="0EE96105" w:rsidR="00731DD6" w:rsidRDefault="00731DD6" w:rsidP="1B1BE40E">
      <w:pPr>
        <w:jc w:val="center"/>
        <w:rPr>
          <w:rFonts w:ascii="Verdana" w:hAnsi="Verdana"/>
          <w:b/>
          <w:bCs/>
          <w:sz w:val="28"/>
          <w:szCs w:val="28"/>
        </w:rPr>
      </w:pPr>
      <w:r w:rsidRPr="1B1BE40E">
        <w:rPr>
          <w:rFonts w:ascii="Verdana" w:hAnsi="Verdana"/>
          <w:b/>
          <w:bCs/>
          <w:sz w:val="28"/>
          <w:szCs w:val="28"/>
        </w:rPr>
        <w:lastRenderedPageBreak/>
        <w:t>MATTERS ISSUES AND QUESTIONS</w:t>
      </w:r>
    </w:p>
    <w:p w14:paraId="4E8E9BFF" w14:textId="77777777" w:rsidR="00731DD6" w:rsidRDefault="00731DD6" w:rsidP="00731DD6">
      <w:pPr>
        <w:jc w:val="center"/>
        <w:rPr>
          <w:rFonts w:ascii="Verdana" w:hAnsi="Verdana"/>
          <w:b/>
          <w:bCs/>
          <w:sz w:val="24"/>
          <w:szCs w:val="24"/>
        </w:rPr>
      </w:pPr>
    </w:p>
    <w:tbl>
      <w:tblPr>
        <w:tblStyle w:val="TableGrid1"/>
        <w:tblW w:w="0" w:type="auto"/>
        <w:tblLook w:val="04A0" w:firstRow="1" w:lastRow="0" w:firstColumn="1" w:lastColumn="0" w:noHBand="0" w:noVBand="1"/>
      </w:tblPr>
      <w:tblGrid>
        <w:gridCol w:w="9016"/>
      </w:tblGrid>
      <w:tr w:rsidR="00EE33FD" w:rsidRPr="00EE33FD" w14:paraId="6724579A" w14:textId="77777777" w:rsidTr="00A75180">
        <w:tc>
          <w:tcPr>
            <w:tcW w:w="9736" w:type="dxa"/>
            <w:shd w:val="clear" w:color="auto" w:fill="E7E6E6" w:themeFill="background2"/>
          </w:tcPr>
          <w:p w14:paraId="07E7EAB8" w14:textId="77777777" w:rsidR="00EE33FD" w:rsidRPr="00EE33FD" w:rsidRDefault="00EE33FD" w:rsidP="00EE33FD">
            <w:pPr>
              <w:rPr>
                <w:rFonts w:ascii="Verdana" w:eastAsia="Calibri" w:hAnsi="Verdana" w:cs="Times New Roman"/>
                <w:b/>
                <w:bCs/>
                <w:sz w:val="24"/>
                <w:szCs w:val="24"/>
                <w:lang w:eastAsia="en-GB"/>
              </w:rPr>
            </w:pPr>
            <w:r w:rsidRPr="00EE33FD">
              <w:rPr>
                <w:rFonts w:ascii="Verdana" w:eastAsia="Calibri" w:hAnsi="Verdana" w:cs="Times New Roman"/>
                <w:b/>
                <w:bCs/>
                <w:sz w:val="24"/>
                <w:szCs w:val="24"/>
                <w:lang w:eastAsia="en-GB"/>
              </w:rPr>
              <w:t>MATTER 6: BUILT ENVIRONMENT, HERITAGE AND DESIGN</w:t>
            </w:r>
          </w:p>
        </w:tc>
      </w:tr>
    </w:tbl>
    <w:p w14:paraId="7841A913" w14:textId="77777777" w:rsidR="00EE33FD" w:rsidRPr="00EE33FD" w:rsidRDefault="00EE33FD" w:rsidP="00EE33FD">
      <w:pPr>
        <w:spacing w:after="0" w:line="240" w:lineRule="auto"/>
        <w:ind w:left="907" w:hanging="907"/>
        <w:rPr>
          <w:rFonts w:ascii="Verdana" w:eastAsia="Calibri" w:hAnsi="Verdana" w:cs="Times New Roman"/>
          <w:b/>
          <w:bCs/>
          <w:sz w:val="24"/>
          <w:szCs w:val="24"/>
          <w:u w:val="single"/>
          <w:lang w:eastAsia="en-GB"/>
        </w:rPr>
      </w:pPr>
    </w:p>
    <w:p w14:paraId="0A0040F5" w14:textId="77777777" w:rsidR="00EE33FD" w:rsidRPr="00EE33FD" w:rsidRDefault="00EE33FD" w:rsidP="00EE33FD">
      <w:pPr>
        <w:spacing w:after="0" w:line="240" w:lineRule="auto"/>
        <w:rPr>
          <w:rFonts w:ascii="Verdana" w:eastAsia="Calibri" w:hAnsi="Verdana" w:cs="Times New Roman"/>
          <w:b/>
          <w:bCs/>
          <w:sz w:val="24"/>
          <w:szCs w:val="24"/>
          <w:lang w:eastAsia="en-GB"/>
        </w:rPr>
      </w:pPr>
      <w:r w:rsidRPr="00EE33FD">
        <w:rPr>
          <w:rFonts w:ascii="Verdana" w:eastAsia="Calibri" w:hAnsi="Verdana" w:cs="Times New Roman"/>
          <w:b/>
          <w:bCs/>
          <w:sz w:val="24"/>
          <w:szCs w:val="24"/>
          <w:lang w:eastAsia="en-GB"/>
        </w:rPr>
        <w:t>Issue 1 - Whether the Plan has been positively prepared and whether it is justified, effective, consistent with national policy, and in general conformity with the London Plan in relation to creating high quality places and preserving or enhancing the Borough’s heritage (Policies 56 - 61 and 72 - 78).</w:t>
      </w:r>
    </w:p>
    <w:p w14:paraId="46C89EA4"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p>
    <w:p w14:paraId="197AD6CB" w14:textId="77777777" w:rsidR="00EE33FD" w:rsidRPr="00EE33FD" w:rsidRDefault="00EE33FD" w:rsidP="00EE33FD">
      <w:pPr>
        <w:spacing w:after="0" w:line="240" w:lineRule="auto"/>
        <w:ind w:left="907" w:hanging="907"/>
        <w:rPr>
          <w:rFonts w:ascii="Verdana" w:eastAsia="Verdana" w:hAnsi="Verdana" w:cs="Verdana"/>
          <w:i/>
          <w:iCs/>
          <w:sz w:val="24"/>
          <w:szCs w:val="24"/>
          <w:lang w:eastAsia="en-GB"/>
        </w:rPr>
      </w:pPr>
      <w:r w:rsidRPr="00EE33FD">
        <w:rPr>
          <w:rFonts w:ascii="Verdana" w:eastAsia="Verdana" w:hAnsi="Verdana" w:cs="Verdana"/>
          <w:i/>
          <w:iCs/>
          <w:sz w:val="24"/>
          <w:szCs w:val="24"/>
          <w:lang w:eastAsia="en-GB"/>
        </w:rPr>
        <w:t>Policy 56 – Delivering High Quality Design</w:t>
      </w:r>
    </w:p>
    <w:p w14:paraId="188EDBBA" w14:textId="77777777" w:rsidR="00EE33FD" w:rsidRPr="00EE33FD" w:rsidRDefault="00EE33FD" w:rsidP="00EE33FD">
      <w:pPr>
        <w:spacing w:after="0" w:line="240" w:lineRule="auto"/>
        <w:ind w:left="907" w:hanging="907"/>
        <w:rPr>
          <w:rFonts w:ascii="Calibri" w:eastAsia="Calibri" w:hAnsi="Calibri" w:cs="Times New Roman"/>
          <w:i/>
          <w:iCs/>
          <w:sz w:val="24"/>
          <w:szCs w:val="24"/>
          <w:lang w:eastAsia="en-GB"/>
        </w:rPr>
      </w:pPr>
    </w:p>
    <w:p w14:paraId="3B9027F7"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Q127</w:t>
      </w:r>
      <w:r w:rsidRPr="00EE33FD">
        <w:rPr>
          <w:rFonts w:ascii="Calibri" w:eastAsia="Calibri" w:hAnsi="Calibri" w:cs="Times New Roman"/>
        </w:rPr>
        <w:tab/>
      </w:r>
      <w:r w:rsidRPr="00EE33FD">
        <w:rPr>
          <w:rFonts w:ascii="Verdana" w:eastAsia="Verdana" w:hAnsi="Verdana" w:cs="Verdana"/>
          <w:sz w:val="24"/>
          <w:szCs w:val="24"/>
          <w:lang w:eastAsia="en-GB"/>
        </w:rPr>
        <w:t>Is the policy justified and is it consistent with national policy, including paragraphs 8b, 8c, 128, 129, 130, 131 and 134 of the NPPF?</w:t>
      </w:r>
    </w:p>
    <w:p w14:paraId="245A0DD1" w14:textId="77777777" w:rsidR="00EE33FD" w:rsidRPr="00EE33FD" w:rsidRDefault="00EE33FD" w:rsidP="00EE33FD">
      <w:pPr>
        <w:numPr>
          <w:ilvl w:val="0"/>
          <w:numId w:val="4"/>
        </w:numPr>
        <w:spacing w:after="0" w:line="240" w:lineRule="auto"/>
        <w:ind w:left="1588" w:hanging="567"/>
        <w:contextualSpacing/>
        <w:rPr>
          <w:rFonts w:ascii="Verdana" w:eastAsia="Verdana" w:hAnsi="Verdana" w:cs="Verdana"/>
          <w:sz w:val="24"/>
          <w:szCs w:val="24"/>
          <w:lang w:eastAsia="en-GB"/>
        </w:rPr>
      </w:pPr>
      <w:r w:rsidRPr="00EE33FD">
        <w:rPr>
          <w:rFonts w:ascii="Verdana" w:eastAsia="Verdana" w:hAnsi="Verdana" w:cs="Verdana"/>
          <w:sz w:val="24"/>
          <w:szCs w:val="24"/>
          <w:lang w:eastAsia="en-GB"/>
        </w:rPr>
        <w:t>Should the policy cover the role of national and local design guides and codes and how these will be considered for decision-making?</w:t>
      </w:r>
    </w:p>
    <w:p w14:paraId="2DD0D1A9" w14:textId="77777777" w:rsidR="00EE33FD" w:rsidRPr="00EE33FD" w:rsidRDefault="00EE33FD" w:rsidP="00EE33FD">
      <w:pPr>
        <w:numPr>
          <w:ilvl w:val="0"/>
          <w:numId w:val="4"/>
        </w:numPr>
        <w:spacing w:after="0" w:line="240" w:lineRule="auto"/>
        <w:ind w:left="1588" w:hanging="567"/>
        <w:contextualSpacing/>
        <w:rPr>
          <w:rFonts w:ascii="Verdana" w:eastAsia="Verdana" w:hAnsi="Verdana" w:cs="Verdana"/>
          <w:sz w:val="24"/>
          <w:szCs w:val="24"/>
          <w:lang w:eastAsia="en-GB"/>
        </w:rPr>
      </w:pPr>
      <w:r w:rsidRPr="00EE33FD">
        <w:rPr>
          <w:rFonts w:ascii="Verdana" w:eastAsia="Verdana" w:hAnsi="Verdana" w:cs="Verdana"/>
          <w:sz w:val="24"/>
          <w:szCs w:val="24"/>
          <w:lang w:eastAsia="en-GB"/>
        </w:rPr>
        <w:t>Is there sufficient emphasis on trees and tree-lined streets?</w:t>
      </w:r>
    </w:p>
    <w:p w14:paraId="3F0805DA" w14:textId="77777777" w:rsidR="00EE33FD" w:rsidRPr="00EE33FD" w:rsidRDefault="00EE33FD" w:rsidP="00EE33FD">
      <w:pPr>
        <w:spacing w:after="0" w:line="240" w:lineRule="auto"/>
        <w:ind w:left="547" w:hanging="907"/>
        <w:rPr>
          <w:rFonts w:ascii="Calibri" w:eastAsia="Calibri" w:hAnsi="Calibri" w:cs="Times New Roman"/>
          <w:sz w:val="24"/>
          <w:szCs w:val="24"/>
          <w:lang w:eastAsia="en-GB"/>
        </w:rPr>
      </w:pPr>
    </w:p>
    <w:p w14:paraId="31D564A6"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Q128</w:t>
      </w:r>
      <w:r w:rsidRPr="00EE33FD">
        <w:rPr>
          <w:rFonts w:ascii="Calibri" w:eastAsia="Calibri" w:hAnsi="Calibri" w:cs="Times New Roman"/>
        </w:rPr>
        <w:tab/>
      </w:r>
      <w:r w:rsidRPr="00EE33FD">
        <w:rPr>
          <w:rFonts w:ascii="Verdana" w:eastAsia="Verdana" w:hAnsi="Verdana" w:cs="Verdana"/>
          <w:sz w:val="24"/>
          <w:szCs w:val="24"/>
          <w:lang w:eastAsia="en-GB"/>
        </w:rPr>
        <w:t>Should the policy refer to masterplan approaches to design?</w:t>
      </w:r>
    </w:p>
    <w:p w14:paraId="6282EFB9"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5433679E"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Q129</w:t>
      </w:r>
      <w:r w:rsidRPr="00EE33FD">
        <w:rPr>
          <w:rFonts w:ascii="Calibri" w:eastAsia="Calibri" w:hAnsi="Calibri" w:cs="Times New Roman"/>
        </w:rPr>
        <w:tab/>
      </w:r>
      <w:r w:rsidRPr="00EE33FD">
        <w:rPr>
          <w:rFonts w:ascii="Verdana" w:eastAsia="Verdana" w:hAnsi="Verdana" w:cs="Verdana"/>
          <w:sz w:val="24"/>
          <w:szCs w:val="24"/>
          <w:lang w:eastAsia="en-GB"/>
        </w:rPr>
        <w:t>Is it sufficiently clear how criteria C, D, E and F should be applied in practice?</w:t>
      </w:r>
    </w:p>
    <w:p w14:paraId="531B0951"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4F413800"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Q130</w:t>
      </w:r>
      <w:r w:rsidRPr="00EE33FD">
        <w:rPr>
          <w:rFonts w:ascii="Calibri" w:eastAsia="Calibri" w:hAnsi="Calibri" w:cs="Times New Roman"/>
        </w:rPr>
        <w:tab/>
      </w:r>
      <w:r w:rsidRPr="00EE33FD">
        <w:rPr>
          <w:rFonts w:ascii="Verdana" w:eastAsia="Verdana" w:hAnsi="Verdana" w:cs="Verdana"/>
          <w:sz w:val="24"/>
          <w:szCs w:val="24"/>
          <w:lang w:eastAsia="en-GB"/>
        </w:rPr>
        <w:t>Are the requirements of criterion R justified and how will they be implemented in practice?</w:t>
      </w:r>
    </w:p>
    <w:p w14:paraId="140E2E18"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7F0B1D3D"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Q131</w:t>
      </w:r>
      <w:r w:rsidRPr="00EE33FD">
        <w:rPr>
          <w:rFonts w:ascii="Calibri" w:eastAsia="Calibri" w:hAnsi="Calibri" w:cs="Times New Roman"/>
        </w:rPr>
        <w:tab/>
      </w:r>
      <w:r w:rsidRPr="00EE33FD">
        <w:rPr>
          <w:rFonts w:ascii="Verdana" w:eastAsia="Verdana" w:hAnsi="Verdana" w:cs="Verdana"/>
          <w:sz w:val="24"/>
          <w:szCs w:val="24"/>
          <w:lang w:eastAsia="en-GB"/>
        </w:rPr>
        <w:t>Will the policy be effective in improving biodiversity?</w:t>
      </w:r>
    </w:p>
    <w:p w14:paraId="686DBB26"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 xml:space="preserve">  </w:t>
      </w:r>
    </w:p>
    <w:p w14:paraId="54B182BC" w14:textId="77777777" w:rsidR="00EE33FD" w:rsidRPr="00EE33FD" w:rsidRDefault="00EE33FD" w:rsidP="00EE33FD">
      <w:pPr>
        <w:spacing w:after="0" w:line="240" w:lineRule="auto"/>
        <w:ind w:left="907" w:hanging="907"/>
        <w:rPr>
          <w:rFonts w:ascii="Verdana" w:eastAsia="Verdana" w:hAnsi="Verdana" w:cs="Verdana"/>
          <w:i/>
          <w:iCs/>
          <w:sz w:val="24"/>
          <w:szCs w:val="24"/>
          <w:lang w:eastAsia="en-GB"/>
        </w:rPr>
      </w:pPr>
      <w:r w:rsidRPr="00EE33FD">
        <w:rPr>
          <w:rFonts w:ascii="Verdana" w:eastAsia="Verdana" w:hAnsi="Verdana" w:cs="Verdana"/>
          <w:i/>
          <w:iCs/>
          <w:sz w:val="24"/>
          <w:szCs w:val="24"/>
          <w:lang w:eastAsia="en-GB"/>
        </w:rPr>
        <w:t>Policy 57 – Taller and Tall Buildings</w:t>
      </w:r>
    </w:p>
    <w:p w14:paraId="38F14FA6" w14:textId="77777777" w:rsidR="00EE33FD" w:rsidRPr="00EE33FD" w:rsidRDefault="00EE33FD" w:rsidP="00EE33FD">
      <w:pPr>
        <w:spacing w:after="0" w:line="240" w:lineRule="auto"/>
        <w:ind w:left="907" w:hanging="907"/>
        <w:rPr>
          <w:rFonts w:ascii="Calibri" w:eastAsia="Calibri" w:hAnsi="Calibri" w:cs="Times New Roman"/>
          <w:i/>
          <w:iCs/>
          <w:sz w:val="24"/>
          <w:szCs w:val="24"/>
          <w:lang w:eastAsia="en-GB"/>
        </w:rPr>
      </w:pPr>
    </w:p>
    <w:p w14:paraId="1C89559E"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Q132</w:t>
      </w:r>
      <w:r w:rsidRPr="00EE33FD">
        <w:rPr>
          <w:rFonts w:ascii="Calibri" w:eastAsia="Calibri" w:hAnsi="Calibri" w:cs="Times New Roman"/>
        </w:rPr>
        <w:tab/>
      </w:r>
      <w:r w:rsidRPr="00EE33FD">
        <w:rPr>
          <w:rFonts w:ascii="Verdana" w:eastAsia="Verdana" w:hAnsi="Verdana" w:cs="Verdana"/>
          <w:sz w:val="24"/>
          <w:szCs w:val="24"/>
          <w:lang w:eastAsia="en-GB"/>
        </w:rPr>
        <w:t>Is Policy 57 justified and how will it be implemented alongside Policy 56 in practice?  Is the policy in general conformity with the London Plan?</w:t>
      </w:r>
    </w:p>
    <w:p w14:paraId="5BA65EB8"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188CAE42"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Q133</w:t>
      </w:r>
      <w:r w:rsidRPr="00EE33FD">
        <w:rPr>
          <w:rFonts w:ascii="Calibri" w:eastAsia="Calibri" w:hAnsi="Calibri" w:cs="Times New Roman"/>
        </w:rPr>
        <w:tab/>
      </w:r>
      <w:r w:rsidRPr="00EE33FD">
        <w:rPr>
          <w:rFonts w:ascii="Verdana" w:eastAsia="Verdana" w:hAnsi="Verdana" w:cs="Verdana"/>
          <w:sz w:val="24"/>
          <w:szCs w:val="24"/>
          <w:lang w:eastAsia="en-GB"/>
        </w:rPr>
        <w:t>Should the policy be more specific in defining the locations in which taller and tall buildings will (or will not) be appropriate?  Is it sufficiently flexible?</w:t>
      </w:r>
    </w:p>
    <w:p w14:paraId="6805E5A7"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4548230A"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t>Q134</w:t>
      </w:r>
      <w:r w:rsidRPr="00EE33FD">
        <w:rPr>
          <w:rFonts w:ascii="Calibri" w:eastAsia="Calibri" w:hAnsi="Calibri" w:cs="Times New Roman"/>
        </w:rPr>
        <w:tab/>
      </w:r>
      <w:r w:rsidRPr="00EE33FD">
        <w:rPr>
          <w:rFonts w:ascii="Verdana" w:eastAsia="Verdana" w:hAnsi="Verdana" w:cs="Verdana"/>
          <w:sz w:val="24"/>
          <w:szCs w:val="24"/>
          <w:lang w:eastAsia="en-GB"/>
        </w:rPr>
        <w:t>Is it sufficiently clear what is meant by ‘taller’ and ‘tall’ buildings and by ‘transformation’, ‘transition’ and ‘reinforcement’ and is it sufficiently clear how applications for mixed-height developments will assessed?</w:t>
      </w:r>
    </w:p>
    <w:p w14:paraId="7B751BA2"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56B2105C" w14:textId="77777777" w:rsidR="00EE33FD" w:rsidRPr="00EE33FD" w:rsidRDefault="00EE33FD" w:rsidP="00EE33FD">
      <w:pPr>
        <w:spacing w:after="0" w:line="240" w:lineRule="auto"/>
        <w:ind w:left="907" w:hanging="907"/>
        <w:rPr>
          <w:rFonts w:ascii="Verdana" w:eastAsia="Verdana" w:hAnsi="Verdana" w:cs="Verdana"/>
          <w:sz w:val="24"/>
          <w:szCs w:val="24"/>
          <w:lang w:eastAsia="en-GB"/>
        </w:rPr>
      </w:pPr>
      <w:r w:rsidRPr="00EE33FD">
        <w:rPr>
          <w:rFonts w:ascii="Verdana" w:eastAsia="Verdana" w:hAnsi="Verdana" w:cs="Verdana"/>
          <w:sz w:val="24"/>
          <w:szCs w:val="24"/>
          <w:lang w:eastAsia="en-GB"/>
        </w:rPr>
        <w:lastRenderedPageBreak/>
        <w:t>Q135</w:t>
      </w:r>
      <w:r w:rsidRPr="00EE33FD">
        <w:rPr>
          <w:rFonts w:ascii="Calibri" w:eastAsia="Calibri" w:hAnsi="Calibri" w:cs="Times New Roman"/>
        </w:rPr>
        <w:tab/>
      </w:r>
      <w:r w:rsidRPr="00EE33FD">
        <w:rPr>
          <w:rFonts w:ascii="Verdana" w:eastAsia="Verdana" w:hAnsi="Verdana" w:cs="Verdana"/>
          <w:sz w:val="24"/>
          <w:szCs w:val="24"/>
          <w:lang w:eastAsia="en-GB"/>
        </w:rPr>
        <w:t>Is the policy compatible with the Plan’s spatial and growth strategy, including Policy 8 - Character Led Intensification?</w:t>
      </w:r>
    </w:p>
    <w:p w14:paraId="082A72AA"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5F7DA40B"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58 – Residential Space Standards</w:t>
      </w:r>
    </w:p>
    <w:p w14:paraId="720B345A" w14:textId="77777777" w:rsidR="00EE33FD" w:rsidRPr="00EE33FD" w:rsidRDefault="00EE33FD" w:rsidP="00EE33FD">
      <w:pPr>
        <w:spacing w:after="0" w:line="240" w:lineRule="auto"/>
        <w:ind w:left="907" w:hanging="907"/>
        <w:rPr>
          <w:rFonts w:ascii="Calibri" w:eastAsia="Calibri" w:hAnsi="Calibri" w:cs="Times New Roman"/>
          <w:i/>
          <w:iCs/>
          <w:sz w:val="24"/>
          <w:szCs w:val="24"/>
          <w:lang w:eastAsia="en-GB"/>
        </w:rPr>
      </w:pPr>
    </w:p>
    <w:p w14:paraId="32E4524A"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Q136</w:t>
      </w:r>
      <w:r w:rsidRPr="00EE33FD">
        <w:rPr>
          <w:rFonts w:ascii="Calibri" w:eastAsia="Calibri" w:hAnsi="Calibri" w:cs="Times New Roman"/>
        </w:rPr>
        <w:tab/>
      </w:r>
      <w:r w:rsidRPr="00EE33FD">
        <w:rPr>
          <w:rFonts w:ascii="Verdana" w:eastAsia="Calibri" w:hAnsi="Verdana" w:cs="Times New Roman"/>
          <w:sz w:val="24"/>
          <w:szCs w:val="24"/>
          <w:lang w:eastAsia="en-GB"/>
        </w:rPr>
        <w:t>What is the relationship between Policy 58 and the Nationally Described Space Standards?</w:t>
      </w:r>
    </w:p>
    <w:p w14:paraId="7C35A271"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30A5C6C8"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Q137</w:t>
      </w:r>
      <w:r w:rsidRPr="00EE33FD">
        <w:rPr>
          <w:rFonts w:ascii="Calibri" w:eastAsia="Calibri" w:hAnsi="Calibri" w:cs="Times New Roman"/>
        </w:rPr>
        <w:tab/>
      </w:r>
      <w:r w:rsidRPr="00EE33FD">
        <w:rPr>
          <w:rFonts w:ascii="Verdana" w:eastAsia="Calibri" w:hAnsi="Verdana" w:cs="Times New Roman"/>
          <w:sz w:val="24"/>
          <w:szCs w:val="24"/>
          <w:lang w:eastAsia="en-GB"/>
        </w:rPr>
        <w:t>Are the external space standards set out in criterion C of Policy 58 justified and are they in general conformity with the London Plan?  Is the policy sufficiently flexible to take account of site-specific circumstances and requirements?</w:t>
      </w:r>
    </w:p>
    <w:p w14:paraId="62C7B8B3"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2305A743"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59 – Amenity</w:t>
      </w:r>
    </w:p>
    <w:p w14:paraId="2AEE6EF6" w14:textId="77777777" w:rsidR="00EE33FD" w:rsidRPr="00EE33FD" w:rsidRDefault="00EE33FD" w:rsidP="00EE33FD">
      <w:pPr>
        <w:spacing w:after="0" w:line="240" w:lineRule="auto"/>
        <w:ind w:left="907" w:hanging="907"/>
        <w:rPr>
          <w:rFonts w:ascii="Calibri" w:eastAsia="Calibri" w:hAnsi="Calibri" w:cs="Times New Roman"/>
          <w:i/>
          <w:iCs/>
          <w:sz w:val="24"/>
          <w:szCs w:val="24"/>
          <w:lang w:eastAsia="en-GB"/>
        </w:rPr>
      </w:pPr>
    </w:p>
    <w:p w14:paraId="1823A0FF"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sz w:val="24"/>
          <w:szCs w:val="24"/>
          <w:lang w:eastAsia="en-GB"/>
        </w:rPr>
        <w:t>Q138</w:t>
      </w:r>
      <w:r w:rsidRPr="00EE33FD">
        <w:rPr>
          <w:rFonts w:ascii="Calibri" w:eastAsia="Calibri" w:hAnsi="Calibri" w:cs="Times New Roman"/>
        </w:rPr>
        <w:tab/>
      </w:r>
      <w:r w:rsidRPr="00EE33FD">
        <w:rPr>
          <w:rFonts w:ascii="Verdana" w:eastAsia="Calibri" w:hAnsi="Verdana" w:cs="Times New Roman"/>
          <w:sz w:val="24"/>
          <w:szCs w:val="24"/>
          <w:lang w:eastAsia="en-GB"/>
        </w:rPr>
        <w:t>Would the policy be effective in providing for satisfactory living conditions for the future occupiers of new development as well as adjacent residential properties?</w:t>
      </w:r>
    </w:p>
    <w:p w14:paraId="29E41102"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2D6D404F"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60 – Designing Out Crime</w:t>
      </w:r>
    </w:p>
    <w:p w14:paraId="5348F495" w14:textId="77777777" w:rsidR="00EE33FD" w:rsidRPr="00EE33FD" w:rsidRDefault="00EE33FD" w:rsidP="00EE33FD">
      <w:pPr>
        <w:spacing w:after="0" w:line="240" w:lineRule="auto"/>
        <w:ind w:left="907" w:hanging="907"/>
        <w:rPr>
          <w:rFonts w:ascii="Calibri" w:eastAsia="Calibri" w:hAnsi="Calibri" w:cs="Times New Roman"/>
          <w:i/>
          <w:iCs/>
          <w:sz w:val="24"/>
          <w:szCs w:val="24"/>
          <w:lang w:eastAsia="en-GB"/>
        </w:rPr>
      </w:pPr>
    </w:p>
    <w:p w14:paraId="30DBE8D3"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Q139</w:t>
      </w:r>
      <w:r w:rsidRPr="00EE33FD">
        <w:rPr>
          <w:rFonts w:ascii="Calibri" w:eastAsia="Calibri" w:hAnsi="Calibri" w:cs="Times New Roman"/>
        </w:rPr>
        <w:tab/>
      </w:r>
      <w:r w:rsidRPr="00EE33FD">
        <w:rPr>
          <w:rFonts w:ascii="Verdana" w:eastAsia="Calibri" w:hAnsi="Verdana" w:cs="Times New Roman"/>
          <w:sz w:val="24"/>
          <w:szCs w:val="24"/>
          <w:lang w:eastAsia="en-GB"/>
        </w:rPr>
        <w:t xml:space="preserve">Would the policy be effective and how would it relate in practice to Policy 52 (Making Safer Places)?  </w:t>
      </w:r>
    </w:p>
    <w:p w14:paraId="7F7FA151"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5E5CA93E"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Q140</w:t>
      </w:r>
      <w:r w:rsidRPr="00EE33FD">
        <w:rPr>
          <w:rFonts w:ascii="Calibri" w:eastAsia="Calibri" w:hAnsi="Calibri" w:cs="Times New Roman"/>
        </w:rPr>
        <w:tab/>
      </w:r>
      <w:r w:rsidRPr="00EE33FD">
        <w:rPr>
          <w:rFonts w:ascii="Verdana" w:eastAsia="Calibri" w:hAnsi="Verdana" w:cs="Times New Roman"/>
          <w:sz w:val="24"/>
          <w:szCs w:val="24"/>
          <w:lang w:eastAsia="en-GB"/>
        </w:rPr>
        <w:t xml:space="preserve">Should all major developments be required to achieve Secured by Design accreditation?  </w:t>
      </w:r>
    </w:p>
    <w:p w14:paraId="23D5A371"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55EBD973"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Q141</w:t>
      </w:r>
      <w:r w:rsidRPr="00EE33FD">
        <w:rPr>
          <w:rFonts w:ascii="Calibri" w:eastAsia="Calibri" w:hAnsi="Calibri" w:cs="Times New Roman"/>
        </w:rPr>
        <w:tab/>
      </w:r>
      <w:r w:rsidRPr="00EE33FD">
        <w:rPr>
          <w:rFonts w:ascii="Verdana" w:eastAsia="Calibri" w:hAnsi="Verdana" w:cs="Times New Roman"/>
          <w:sz w:val="24"/>
          <w:szCs w:val="24"/>
          <w:lang w:eastAsia="en-GB"/>
        </w:rPr>
        <w:t>Should wider liaison be provided for in Criterion C?</w:t>
      </w:r>
    </w:p>
    <w:p w14:paraId="540201D8"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p>
    <w:p w14:paraId="6C0D98FA"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61 – Advertisements, Hoardings and Signage</w:t>
      </w:r>
    </w:p>
    <w:p w14:paraId="60B2A308"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40255F9E"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Q142</w:t>
      </w:r>
      <w:r w:rsidRPr="00EE33FD">
        <w:rPr>
          <w:rFonts w:ascii="Calibri" w:eastAsia="Calibri" w:hAnsi="Calibri" w:cs="Times New Roman"/>
        </w:rPr>
        <w:tab/>
      </w:r>
      <w:r w:rsidRPr="00EE33FD">
        <w:rPr>
          <w:rFonts w:ascii="Verdana" w:eastAsia="Calibri" w:hAnsi="Verdana" w:cs="Times New Roman"/>
          <w:sz w:val="24"/>
          <w:szCs w:val="24"/>
          <w:lang w:eastAsia="en-GB"/>
        </w:rPr>
        <w:t xml:space="preserve">Is the policy justified, effective and consistent with NPPF paragraph 136?  Would it be effective given the separate consent system for the control of advertisements? </w:t>
      </w:r>
    </w:p>
    <w:p w14:paraId="74D217F2" w14:textId="77777777" w:rsidR="00EE33FD" w:rsidRPr="00EE33FD" w:rsidRDefault="00EE33FD" w:rsidP="00EE33FD">
      <w:pPr>
        <w:spacing w:after="0" w:line="240" w:lineRule="auto"/>
        <w:ind w:left="907" w:hanging="907"/>
        <w:rPr>
          <w:rFonts w:ascii="Verdana" w:eastAsia="Verdana" w:hAnsi="Verdana" w:cs="Verdana"/>
          <w:i/>
          <w:iCs/>
          <w:sz w:val="24"/>
          <w:szCs w:val="24"/>
          <w:lang w:eastAsia="en-GB"/>
        </w:rPr>
      </w:pPr>
    </w:p>
    <w:p w14:paraId="3AEDA02A" w14:textId="77777777" w:rsidR="00EE33FD" w:rsidRPr="00EE33FD" w:rsidRDefault="00EE33FD" w:rsidP="00EE33FD">
      <w:pPr>
        <w:spacing w:after="0" w:line="240" w:lineRule="auto"/>
        <w:ind w:left="907" w:hanging="907"/>
        <w:rPr>
          <w:rFonts w:ascii="Verdana" w:eastAsia="Verdana" w:hAnsi="Verdana" w:cs="Verdana"/>
          <w:i/>
          <w:iCs/>
          <w:sz w:val="24"/>
          <w:szCs w:val="24"/>
          <w:lang w:eastAsia="en-GB"/>
        </w:rPr>
      </w:pPr>
      <w:r w:rsidRPr="00EE33FD">
        <w:rPr>
          <w:rFonts w:ascii="Verdana" w:eastAsia="Verdana" w:hAnsi="Verdana" w:cs="Verdana"/>
          <w:i/>
          <w:iCs/>
          <w:sz w:val="24"/>
          <w:szCs w:val="24"/>
          <w:lang w:eastAsia="en-GB"/>
        </w:rPr>
        <w:t>Policies 72 – 78</w:t>
      </w:r>
    </w:p>
    <w:p w14:paraId="492651D6"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5E1E4BC4"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Q143</w:t>
      </w:r>
      <w:r w:rsidRPr="00EE33FD">
        <w:rPr>
          <w:rFonts w:ascii="Calibri" w:eastAsia="Calibri" w:hAnsi="Calibri" w:cs="Times New Roman"/>
        </w:rPr>
        <w:tab/>
      </w:r>
      <w:r w:rsidRPr="00EE33FD">
        <w:rPr>
          <w:rFonts w:ascii="Verdana" w:eastAsia="Calibri" w:hAnsi="Verdana" w:cs="Times New Roman"/>
          <w:sz w:val="24"/>
          <w:szCs w:val="24"/>
          <w:lang w:eastAsia="en-GB"/>
        </w:rPr>
        <w:t>Do Policies 72-78 effectively deal with the full range of historic environment issues in a clear and consistent manner?</w:t>
      </w:r>
    </w:p>
    <w:p w14:paraId="4B4D93EA"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p>
    <w:p w14:paraId="7A305F8E"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72 – Designated Heritage Assets</w:t>
      </w:r>
    </w:p>
    <w:p w14:paraId="2CCECBD7"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73 – Listed Buildings</w:t>
      </w:r>
    </w:p>
    <w:p w14:paraId="146EB752"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74 – Conservation Areas</w:t>
      </w:r>
    </w:p>
    <w:p w14:paraId="767B91D0"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75 – Archaeological Assets and Archaeological Priority Areas</w:t>
      </w:r>
    </w:p>
    <w:p w14:paraId="7D95CE45" w14:textId="77777777" w:rsidR="00EE33FD" w:rsidRPr="00EE33FD" w:rsidRDefault="00EE33FD" w:rsidP="00EE33FD">
      <w:pPr>
        <w:spacing w:after="0" w:line="240" w:lineRule="auto"/>
        <w:ind w:left="907" w:hanging="907"/>
        <w:rPr>
          <w:rFonts w:ascii="Calibri" w:eastAsia="Calibri" w:hAnsi="Calibri" w:cs="Times New Roman"/>
          <w:i/>
          <w:iCs/>
          <w:sz w:val="24"/>
          <w:szCs w:val="24"/>
          <w:lang w:eastAsia="en-GB"/>
        </w:rPr>
      </w:pPr>
    </w:p>
    <w:p w14:paraId="77173B0D"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Q144</w:t>
      </w:r>
      <w:r w:rsidRPr="00EE33FD">
        <w:rPr>
          <w:rFonts w:ascii="Calibri" w:eastAsia="Calibri" w:hAnsi="Calibri" w:cs="Times New Roman"/>
        </w:rPr>
        <w:tab/>
      </w:r>
      <w:r w:rsidRPr="00EE33FD">
        <w:rPr>
          <w:rFonts w:ascii="Verdana" w:eastAsia="Calibri" w:hAnsi="Verdana" w:cs="Times New Roman"/>
          <w:sz w:val="24"/>
          <w:szCs w:val="24"/>
          <w:lang w:eastAsia="en-GB"/>
        </w:rPr>
        <w:t xml:space="preserve">Are Policies 72 and 73 consistent with national policy and statutory requirements associated with heritage assets?  Is it </w:t>
      </w:r>
      <w:r w:rsidRPr="00EE33FD">
        <w:rPr>
          <w:rFonts w:ascii="Verdana" w:eastAsia="Calibri" w:hAnsi="Verdana" w:cs="Times New Roman"/>
          <w:sz w:val="24"/>
          <w:szCs w:val="24"/>
          <w:lang w:eastAsia="en-GB"/>
        </w:rPr>
        <w:lastRenderedPageBreak/>
        <w:t xml:space="preserve">justified to expect assets to be preserved </w:t>
      </w:r>
      <w:r w:rsidRPr="00EE33FD">
        <w:rPr>
          <w:rFonts w:ascii="Verdana" w:eastAsia="Calibri" w:hAnsi="Verdana" w:cs="Times New Roman"/>
          <w:sz w:val="24"/>
          <w:szCs w:val="24"/>
          <w:u w:val="single"/>
          <w:lang w:eastAsia="en-GB"/>
        </w:rPr>
        <w:t>and</w:t>
      </w:r>
      <w:r w:rsidRPr="00EE33FD">
        <w:rPr>
          <w:rFonts w:ascii="Verdana" w:eastAsia="Calibri" w:hAnsi="Verdana" w:cs="Times New Roman"/>
          <w:sz w:val="24"/>
          <w:szCs w:val="24"/>
          <w:lang w:eastAsia="en-GB"/>
        </w:rPr>
        <w:t xml:space="preserve"> enhanced (our emphasis)?</w:t>
      </w:r>
    </w:p>
    <w:p w14:paraId="51416A04"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558D04E0"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Q145</w:t>
      </w:r>
      <w:r w:rsidRPr="00EE33FD">
        <w:rPr>
          <w:rFonts w:ascii="Calibri" w:eastAsia="Calibri" w:hAnsi="Calibri" w:cs="Times New Roman"/>
        </w:rPr>
        <w:tab/>
      </w:r>
      <w:r w:rsidRPr="00EE33FD">
        <w:rPr>
          <w:rFonts w:ascii="Verdana" w:eastAsia="Calibri" w:hAnsi="Verdana" w:cs="Times New Roman"/>
          <w:sz w:val="24"/>
          <w:szCs w:val="24"/>
          <w:lang w:eastAsia="en-GB"/>
        </w:rPr>
        <w:t>Is it sufficiently clear how criteria G and H of Policy 72, criterion D of Policy 74 and criterion E of Policy 75, would be applied in practice?</w:t>
      </w:r>
    </w:p>
    <w:p w14:paraId="1E00F505" w14:textId="77777777" w:rsidR="00EE33FD" w:rsidRPr="00EE33FD" w:rsidRDefault="00EE33FD" w:rsidP="00EE33FD">
      <w:pPr>
        <w:spacing w:after="0" w:line="240" w:lineRule="auto"/>
        <w:ind w:left="907" w:hanging="907"/>
        <w:rPr>
          <w:rFonts w:ascii="Calibri" w:eastAsia="Calibri" w:hAnsi="Calibri" w:cs="Times New Roman"/>
          <w:sz w:val="24"/>
          <w:szCs w:val="24"/>
          <w:lang w:eastAsia="en-GB"/>
        </w:rPr>
      </w:pPr>
    </w:p>
    <w:p w14:paraId="25C48D05"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Q146</w:t>
      </w:r>
      <w:r w:rsidRPr="00EE33FD">
        <w:rPr>
          <w:rFonts w:ascii="Calibri" w:eastAsia="Calibri" w:hAnsi="Calibri" w:cs="Times New Roman"/>
        </w:rPr>
        <w:tab/>
      </w:r>
      <w:r w:rsidRPr="00EE33FD">
        <w:rPr>
          <w:rFonts w:ascii="Verdana" w:eastAsia="Calibri" w:hAnsi="Verdana" w:cs="Times New Roman"/>
          <w:sz w:val="24"/>
          <w:szCs w:val="24"/>
          <w:lang w:eastAsia="en-GB"/>
        </w:rPr>
        <w:t xml:space="preserve">Is criterion D of Policy 73 justified and consistent with NPPF paragraph 202 in requiring any change of use of a listed building to be demonstrated to be the asset’s optimum viable use?  </w:t>
      </w:r>
    </w:p>
    <w:p w14:paraId="0062C83F"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68A8BAAD"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Q147</w:t>
      </w:r>
      <w:r w:rsidRPr="00EE33FD">
        <w:rPr>
          <w:rFonts w:ascii="Calibri" w:eastAsia="Calibri" w:hAnsi="Calibri" w:cs="Times New Roman"/>
        </w:rPr>
        <w:tab/>
      </w:r>
      <w:r w:rsidRPr="00EE33FD">
        <w:rPr>
          <w:rFonts w:ascii="Verdana" w:eastAsia="Calibri" w:hAnsi="Verdana" w:cs="Times New Roman"/>
          <w:sz w:val="24"/>
          <w:szCs w:val="24"/>
          <w:lang w:eastAsia="en-GB"/>
        </w:rPr>
        <w:t>Is it sufficiently clear how Policy 73 will be implemented in practice, and is it consistent with policy 72?  Is criterion E of Policy 73 consistent with criterion D of Policy 72 and with NPPF paragraphs 200 and 201?</w:t>
      </w:r>
    </w:p>
    <w:p w14:paraId="2C0E7BFB" w14:textId="77777777" w:rsidR="00EE33FD" w:rsidRPr="00EE33FD" w:rsidRDefault="00EE33FD" w:rsidP="00EE33FD">
      <w:pPr>
        <w:spacing w:after="0" w:line="240" w:lineRule="auto"/>
        <w:ind w:left="794" w:hanging="794"/>
        <w:rPr>
          <w:rFonts w:ascii="Verdana" w:eastAsia="Calibri" w:hAnsi="Verdana" w:cs="Times New Roman"/>
          <w:i/>
          <w:iCs/>
          <w:sz w:val="24"/>
          <w:szCs w:val="24"/>
          <w:lang w:eastAsia="en-GB"/>
        </w:rPr>
      </w:pPr>
    </w:p>
    <w:p w14:paraId="42B71B15" w14:textId="77777777" w:rsidR="00EE33FD" w:rsidRPr="00EE33FD" w:rsidRDefault="00EE33FD" w:rsidP="00EE33FD">
      <w:pPr>
        <w:spacing w:after="0" w:line="240" w:lineRule="auto"/>
        <w:ind w:left="794" w:hanging="794"/>
        <w:rPr>
          <w:rFonts w:ascii="Verdana" w:eastAsia="Calibri" w:hAnsi="Verdana" w:cs="Times New Roman"/>
          <w:sz w:val="24"/>
          <w:szCs w:val="24"/>
          <w:lang w:eastAsia="en-GB"/>
        </w:rPr>
      </w:pPr>
      <w:r w:rsidRPr="00EE33FD">
        <w:rPr>
          <w:rFonts w:ascii="Verdana" w:eastAsia="Calibri" w:hAnsi="Verdana" w:cs="Times New Roman"/>
          <w:i/>
          <w:iCs/>
          <w:sz w:val="24"/>
          <w:szCs w:val="24"/>
          <w:lang w:eastAsia="en-GB"/>
        </w:rPr>
        <w:t>Policy 76 – Non-designated Heritage Assets</w:t>
      </w:r>
    </w:p>
    <w:p w14:paraId="0596D8BD"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Policy 77 – Locally Listed Buildings</w:t>
      </w:r>
    </w:p>
    <w:p w14:paraId="0705718D"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76E1EC1C"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Q148</w:t>
      </w:r>
      <w:r w:rsidRPr="00EE33FD">
        <w:rPr>
          <w:rFonts w:ascii="Calibri" w:eastAsia="Calibri" w:hAnsi="Calibri" w:cs="Times New Roman"/>
        </w:rPr>
        <w:tab/>
      </w:r>
      <w:r w:rsidRPr="00EE33FD">
        <w:rPr>
          <w:rFonts w:ascii="Verdana" w:eastAsia="Calibri" w:hAnsi="Verdana" w:cs="Times New Roman"/>
          <w:sz w:val="24"/>
          <w:szCs w:val="24"/>
          <w:lang w:eastAsia="en-GB"/>
        </w:rPr>
        <w:t>Is criterion B of Policy 76 justified and consistent with NPPF paragraph 203?</w:t>
      </w:r>
    </w:p>
    <w:p w14:paraId="542BEFB9"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3498684C"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Q149</w:t>
      </w:r>
      <w:r w:rsidRPr="00EE33FD">
        <w:rPr>
          <w:rFonts w:ascii="Calibri" w:eastAsia="Calibri" w:hAnsi="Calibri" w:cs="Times New Roman"/>
        </w:rPr>
        <w:tab/>
      </w:r>
      <w:r w:rsidRPr="00EE33FD">
        <w:rPr>
          <w:rFonts w:ascii="Verdana" w:eastAsia="Calibri" w:hAnsi="Verdana" w:cs="Times New Roman"/>
          <w:sz w:val="24"/>
          <w:szCs w:val="24"/>
          <w:lang w:eastAsia="en-GB"/>
        </w:rPr>
        <w:t>Is Policy 77 consistent with Policy 76?</w:t>
      </w:r>
    </w:p>
    <w:p w14:paraId="55E5E827"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p>
    <w:p w14:paraId="7007F103"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i/>
          <w:iCs/>
          <w:sz w:val="24"/>
          <w:szCs w:val="24"/>
          <w:lang w:eastAsia="en-GB"/>
        </w:rPr>
        <w:t xml:space="preserve">Policy 78 – </w:t>
      </w:r>
      <w:proofErr w:type="spellStart"/>
      <w:r w:rsidRPr="00EE33FD">
        <w:rPr>
          <w:rFonts w:ascii="Verdana" w:eastAsia="Calibri" w:hAnsi="Verdana" w:cs="Times New Roman"/>
          <w:i/>
          <w:iCs/>
          <w:sz w:val="24"/>
          <w:szCs w:val="24"/>
          <w:lang w:eastAsia="en-GB"/>
        </w:rPr>
        <w:t>Highams</w:t>
      </w:r>
      <w:proofErr w:type="spellEnd"/>
      <w:r w:rsidRPr="00EE33FD">
        <w:rPr>
          <w:rFonts w:ascii="Verdana" w:eastAsia="Calibri" w:hAnsi="Verdana" w:cs="Times New Roman"/>
          <w:i/>
          <w:iCs/>
          <w:sz w:val="24"/>
          <w:szCs w:val="24"/>
          <w:lang w:eastAsia="en-GB"/>
        </w:rPr>
        <w:t xml:space="preserve"> Area of Special Character</w:t>
      </w:r>
    </w:p>
    <w:p w14:paraId="7BB5FFEA"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1027AFB8" w14:textId="77777777" w:rsidR="00EE33FD" w:rsidRPr="00EE33FD" w:rsidRDefault="00EE33FD" w:rsidP="00EE33FD">
      <w:pPr>
        <w:spacing w:after="0" w:line="240" w:lineRule="auto"/>
        <w:ind w:left="907" w:hanging="907"/>
        <w:rPr>
          <w:rFonts w:ascii="Verdana" w:eastAsia="Calibri" w:hAnsi="Verdana" w:cs="Times New Roman"/>
          <w:i/>
          <w:iCs/>
          <w:sz w:val="24"/>
          <w:szCs w:val="24"/>
          <w:lang w:eastAsia="en-GB"/>
        </w:rPr>
      </w:pPr>
      <w:r w:rsidRPr="00EE33FD">
        <w:rPr>
          <w:rFonts w:ascii="Verdana" w:eastAsia="Calibri" w:hAnsi="Verdana" w:cs="Times New Roman"/>
          <w:sz w:val="24"/>
          <w:szCs w:val="24"/>
          <w:lang w:eastAsia="en-GB"/>
        </w:rPr>
        <w:t>Q150</w:t>
      </w:r>
      <w:r w:rsidRPr="00EE33FD">
        <w:rPr>
          <w:rFonts w:ascii="Calibri" w:eastAsia="Calibri" w:hAnsi="Calibri" w:cs="Times New Roman"/>
        </w:rPr>
        <w:tab/>
      </w:r>
      <w:r w:rsidRPr="00EE33FD">
        <w:rPr>
          <w:rFonts w:ascii="Verdana" w:eastAsia="Calibri" w:hAnsi="Verdana" w:cs="Times New Roman"/>
          <w:sz w:val="24"/>
          <w:szCs w:val="24"/>
          <w:lang w:eastAsia="en-GB"/>
        </w:rPr>
        <w:t>Are the expectations of Policy 78 sufficiently clear to inform and assess development proposals in the Area of Special Character?</w:t>
      </w:r>
    </w:p>
    <w:p w14:paraId="5D8CD51F"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7ED8F7B3"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Q151</w:t>
      </w:r>
      <w:r w:rsidRPr="00EE33FD">
        <w:rPr>
          <w:rFonts w:ascii="Calibri" w:eastAsia="Calibri" w:hAnsi="Calibri" w:cs="Times New Roman"/>
        </w:rPr>
        <w:tab/>
      </w:r>
      <w:r w:rsidRPr="00EE33FD">
        <w:rPr>
          <w:rFonts w:ascii="Verdana" w:eastAsia="Calibri" w:hAnsi="Verdana" w:cs="Times New Roman"/>
          <w:sz w:val="24"/>
          <w:szCs w:val="24"/>
          <w:lang w:eastAsia="en-GB"/>
        </w:rPr>
        <w:t xml:space="preserve">Overall, are Policies 56 - 61 and 72 to 78 soundly based and in general conformity with the London Plan?  </w:t>
      </w:r>
    </w:p>
    <w:p w14:paraId="64A38E61"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p>
    <w:p w14:paraId="7199FEEB" w14:textId="77777777" w:rsidR="00EE33FD" w:rsidRPr="00EE33FD" w:rsidRDefault="00EE33FD" w:rsidP="00EE33FD">
      <w:pPr>
        <w:spacing w:after="0" w:line="240" w:lineRule="auto"/>
        <w:ind w:left="907" w:hanging="907"/>
        <w:rPr>
          <w:rFonts w:ascii="Verdana" w:eastAsia="Calibri" w:hAnsi="Verdana" w:cs="Times New Roman"/>
          <w:sz w:val="24"/>
          <w:szCs w:val="24"/>
          <w:lang w:eastAsia="en-GB"/>
        </w:rPr>
      </w:pPr>
      <w:r w:rsidRPr="00EE33FD">
        <w:rPr>
          <w:rFonts w:ascii="Verdana" w:eastAsia="Calibri" w:hAnsi="Verdana" w:cs="Times New Roman"/>
          <w:sz w:val="24"/>
          <w:szCs w:val="24"/>
          <w:lang w:eastAsia="en-GB"/>
        </w:rPr>
        <w:t>Q152</w:t>
      </w:r>
      <w:r w:rsidRPr="00EE33FD">
        <w:rPr>
          <w:rFonts w:ascii="Verdana" w:eastAsia="Calibri" w:hAnsi="Verdana" w:cs="Times New Roman"/>
          <w:sz w:val="24"/>
          <w:szCs w:val="24"/>
          <w:lang w:eastAsia="en-GB"/>
        </w:rPr>
        <w:tab/>
        <w:t xml:space="preserve">Are any main modifications necessary for soundness?  </w:t>
      </w:r>
    </w:p>
    <w:p w14:paraId="2C615DC5" w14:textId="77777777" w:rsidR="00731DD6" w:rsidRPr="00731DD6" w:rsidRDefault="00731DD6" w:rsidP="00731DD6">
      <w:pPr>
        <w:rPr>
          <w:rFonts w:ascii="Verdana" w:hAnsi="Verdana"/>
          <w:sz w:val="24"/>
          <w:szCs w:val="24"/>
        </w:rPr>
      </w:pPr>
    </w:p>
    <w:sectPr w:rsidR="00731DD6" w:rsidRPr="00731D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8D0B" w14:textId="77777777" w:rsidR="00962A73" w:rsidRDefault="00962A73">
      <w:pPr>
        <w:spacing w:after="0" w:line="240" w:lineRule="auto"/>
      </w:pPr>
      <w:r>
        <w:separator/>
      </w:r>
    </w:p>
  </w:endnote>
  <w:endnote w:type="continuationSeparator" w:id="0">
    <w:p w14:paraId="38DF8FD9" w14:textId="77777777" w:rsidR="00962A73" w:rsidRDefault="00962A73">
      <w:pPr>
        <w:spacing w:after="0" w:line="240" w:lineRule="auto"/>
      </w:pPr>
      <w:r>
        <w:continuationSeparator/>
      </w:r>
    </w:p>
  </w:endnote>
  <w:endnote w:type="continuationNotice" w:id="1">
    <w:p w14:paraId="1B7687BF" w14:textId="77777777" w:rsidR="00962A73" w:rsidRDefault="00962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5F48" w14:textId="77777777" w:rsidR="00A75180" w:rsidRDefault="00A75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23CBCBF7" w14:textId="77777777" w:rsidR="00A75180" w:rsidRDefault="00A338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5C8557" w14:textId="77777777" w:rsidR="00A75180" w:rsidRDefault="00A75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381" w14:textId="77777777" w:rsidR="00A75180" w:rsidRDefault="00A7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3EDB" w14:textId="77777777" w:rsidR="00962A73" w:rsidRDefault="00962A73">
      <w:pPr>
        <w:spacing w:after="0" w:line="240" w:lineRule="auto"/>
      </w:pPr>
      <w:r>
        <w:separator/>
      </w:r>
    </w:p>
  </w:footnote>
  <w:footnote w:type="continuationSeparator" w:id="0">
    <w:p w14:paraId="221273A0" w14:textId="77777777" w:rsidR="00962A73" w:rsidRDefault="00962A73">
      <w:pPr>
        <w:spacing w:after="0" w:line="240" w:lineRule="auto"/>
      </w:pPr>
      <w:r>
        <w:continuationSeparator/>
      </w:r>
    </w:p>
  </w:footnote>
  <w:footnote w:type="continuationNotice" w:id="1">
    <w:p w14:paraId="1A8A0FF1" w14:textId="77777777" w:rsidR="00962A73" w:rsidRDefault="00962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67F" w14:textId="77777777" w:rsidR="00A75180" w:rsidRDefault="00A75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04B" w14:textId="77777777" w:rsidR="00A75180" w:rsidRDefault="00A75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B66" w14:textId="77777777" w:rsidR="00A75180" w:rsidRDefault="00A7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27"/>
    <w:multiLevelType w:val="hybridMultilevel"/>
    <w:tmpl w:val="03729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C"/>
    <w:rsid w:val="000214C9"/>
    <w:rsid w:val="000671DC"/>
    <w:rsid w:val="00090FAD"/>
    <w:rsid w:val="000B07E5"/>
    <w:rsid w:val="000D4738"/>
    <w:rsid w:val="000E4A77"/>
    <w:rsid w:val="000E4E57"/>
    <w:rsid w:val="00127739"/>
    <w:rsid w:val="001425B0"/>
    <w:rsid w:val="00166A42"/>
    <w:rsid w:val="001B3FBF"/>
    <w:rsid w:val="001C159E"/>
    <w:rsid w:val="00212995"/>
    <w:rsid w:val="00273D4D"/>
    <w:rsid w:val="002870A2"/>
    <w:rsid w:val="002E707E"/>
    <w:rsid w:val="00312CED"/>
    <w:rsid w:val="00345B19"/>
    <w:rsid w:val="00395A4A"/>
    <w:rsid w:val="003A34FB"/>
    <w:rsid w:val="003B32F3"/>
    <w:rsid w:val="003C51EC"/>
    <w:rsid w:val="003E1AB7"/>
    <w:rsid w:val="004216A6"/>
    <w:rsid w:val="00432ACF"/>
    <w:rsid w:val="0047019B"/>
    <w:rsid w:val="004C06D4"/>
    <w:rsid w:val="004F3673"/>
    <w:rsid w:val="005B6976"/>
    <w:rsid w:val="00615E19"/>
    <w:rsid w:val="0062570D"/>
    <w:rsid w:val="00651155"/>
    <w:rsid w:val="0066719C"/>
    <w:rsid w:val="00672EBE"/>
    <w:rsid w:val="007122C3"/>
    <w:rsid w:val="00731DD6"/>
    <w:rsid w:val="00766397"/>
    <w:rsid w:val="007D456A"/>
    <w:rsid w:val="0082678E"/>
    <w:rsid w:val="00887ED7"/>
    <w:rsid w:val="00892559"/>
    <w:rsid w:val="008F15CE"/>
    <w:rsid w:val="00936C8A"/>
    <w:rsid w:val="00937ADE"/>
    <w:rsid w:val="00962A73"/>
    <w:rsid w:val="00964402"/>
    <w:rsid w:val="00A03F0A"/>
    <w:rsid w:val="00A06B32"/>
    <w:rsid w:val="00A10DB8"/>
    <w:rsid w:val="00A338DC"/>
    <w:rsid w:val="00A75180"/>
    <w:rsid w:val="00AD133F"/>
    <w:rsid w:val="00B27F1C"/>
    <w:rsid w:val="00B4220D"/>
    <w:rsid w:val="00BA0B3B"/>
    <w:rsid w:val="00BB30E2"/>
    <w:rsid w:val="00BC1A1E"/>
    <w:rsid w:val="00BE668E"/>
    <w:rsid w:val="00BF7B00"/>
    <w:rsid w:val="00C8007A"/>
    <w:rsid w:val="00CA6CAB"/>
    <w:rsid w:val="00CD41FB"/>
    <w:rsid w:val="00CE4ABC"/>
    <w:rsid w:val="00D01C9E"/>
    <w:rsid w:val="00D511A3"/>
    <w:rsid w:val="00D65FA1"/>
    <w:rsid w:val="00D92FCC"/>
    <w:rsid w:val="00DA2A1D"/>
    <w:rsid w:val="00DF4E68"/>
    <w:rsid w:val="00E07FCC"/>
    <w:rsid w:val="00E24EF2"/>
    <w:rsid w:val="00E4593D"/>
    <w:rsid w:val="00EA5C94"/>
    <w:rsid w:val="00EE33FD"/>
    <w:rsid w:val="00EE50E0"/>
    <w:rsid w:val="00F02F15"/>
    <w:rsid w:val="00F2056F"/>
    <w:rsid w:val="00F274D6"/>
    <w:rsid w:val="00F44391"/>
    <w:rsid w:val="00F65178"/>
    <w:rsid w:val="01C58FE9"/>
    <w:rsid w:val="1B1BE40E"/>
    <w:rsid w:val="40C9CFB7"/>
    <w:rsid w:val="50FB204E"/>
    <w:rsid w:val="5F9590E0"/>
    <w:rsid w:val="6B92C0F4"/>
    <w:rsid w:val="7C1F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AE76"/>
  <w15:chartTrackingRefBased/>
  <w15:docId w15:val="{073AD509-D2BD-46A3-B348-1F274C82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1DC"/>
    <w:pPr>
      <w:tabs>
        <w:tab w:val="center" w:pos="4513"/>
        <w:tab w:val="right" w:pos="9026"/>
      </w:tabs>
      <w:spacing w:after="0" w:line="240" w:lineRule="auto"/>
    </w:pPr>
    <w:rPr>
      <w:rFonts w:ascii="Verdana" w:hAnsi="Verdana"/>
    </w:rPr>
  </w:style>
  <w:style w:type="character" w:customStyle="1" w:styleId="HeaderChar">
    <w:name w:val="Header Char"/>
    <w:basedOn w:val="DefaultParagraphFont"/>
    <w:link w:val="Header"/>
    <w:uiPriority w:val="99"/>
    <w:rsid w:val="000671DC"/>
    <w:rPr>
      <w:rFonts w:ascii="Verdana" w:hAnsi="Verdana"/>
    </w:rPr>
  </w:style>
  <w:style w:type="paragraph" w:styleId="Footer">
    <w:name w:val="footer"/>
    <w:basedOn w:val="Normal"/>
    <w:link w:val="FooterChar"/>
    <w:uiPriority w:val="99"/>
    <w:unhideWhenUsed/>
    <w:rsid w:val="000671DC"/>
    <w:pPr>
      <w:tabs>
        <w:tab w:val="center" w:pos="4513"/>
        <w:tab w:val="right" w:pos="9026"/>
      </w:tabs>
      <w:spacing w:after="0" w:line="240" w:lineRule="auto"/>
    </w:pPr>
    <w:rPr>
      <w:rFonts w:ascii="Verdana" w:hAnsi="Verdana"/>
    </w:rPr>
  </w:style>
  <w:style w:type="character" w:customStyle="1" w:styleId="FooterChar">
    <w:name w:val="Footer Char"/>
    <w:basedOn w:val="DefaultParagraphFont"/>
    <w:link w:val="Footer"/>
    <w:uiPriority w:val="99"/>
    <w:rsid w:val="000671DC"/>
    <w:rPr>
      <w:rFonts w:ascii="Verdana" w:hAnsi="Verdana"/>
    </w:rPr>
  </w:style>
  <w:style w:type="table" w:styleId="TableGrid">
    <w:name w:val="Table Grid"/>
    <w:basedOn w:val="TableNormal"/>
    <w:uiPriority w:val="59"/>
    <w:rsid w:val="000671DC"/>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1DC"/>
    <w:pPr>
      <w:ind w:left="720"/>
      <w:contextualSpacing/>
    </w:pPr>
  </w:style>
  <w:style w:type="table" w:customStyle="1" w:styleId="TableGrid1">
    <w:name w:val="Table Grid1"/>
    <w:basedOn w:val="TableNormal"/>
    <w:next w:val="TableGrid"/>
    <w:uiPriority w:val="39"/>
    <w:rsid w:val="00EE33FD"/>
    <w:pPr>
      <w:spacing w:after="0" w:line="240" w:lineRule="auto"/>
      <w:ind w:left="907" w:hanging="90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Catherine</dc:creator>
  <cp:keywords/>
  <dc:description/>
  <cp:lastModifiedBy>Sarah Housden</cp:lastModifiedBy>
  <cp:revision>2</cp:revision>
  <dcterms:created xsi:type="dcterms:W3CDTF">2022-03-14T12:22:00Z</dcterms:created>
  <dcterms:modified xsi:type="dcterms:W3CDTF">2022-03-14T12:22:00Z</dcterms:modified>
</cp:coreProperties>
</file>