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3E" w:rsidRDefault="0093283E" w:rsidP="00220B65">
      <w:pPr>
        <w:pBdr>
          <w:top w:val="single" w:sz="4" w:space="1" w:color="auto"/>
          <w:left w:val="single" w:sz="4" w:space="1" w:color="auto"/>
          <w:bottom w:val="single" w:sz="4" w:space="1" w:color="auto"/>
          <w:right w:val="single" w:sz="4" w:space="1" w:color="auto"/>
        </w:pBdr>
      </w:pPr>
      <w:bookmarkStart w:id="0" w:name="_GoBack"/>
      <w:bookmarkEnd w:id="0"/>
    </w:p>
    <w:p w:rsidR="00510212" w:rsidRDefault="004C76F4" w:rsidP="00220B65">
      <w:pPr>
        <w:pBdr>
          <w:top w:val="single" w:sz="4" w:space="1" w:color="auto"/>
          <w:left w:val="single" w:sz="4" w:space="1" w:color="auto"/>
          <w:bottom w:val="single" w:sz="4" w:space="1" w:color="auto"/>
          <w:right w:val="single" w:sz="4" w:space="1" w:color="auto"/>
        </w:pBdr>
      </w:pPr>
      <w:r>
        <w:rPr>
          <w:rFonts w:cs="Arial"/>
          <w:b/>
          <w:noProof/>
        </w:rPr>
        <w:drawing>
          <wp:inline distT="0" distB="0" distL="0" distR="0" wp14:anchorId="257E191C" wp14:editId="7196182B">
            <wp:extent cx="1676400" cy="1000741"/>
            <wp:effectExtent l="0" t="0" r="0" b="9525"/>
            <wp:docPr id="42" name="Picture 42" descr="WF_LOGO_CMYK_WHT ON 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_LOGO_CMYK_WHT ON G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000741"/>
                    </a:xfrm>
                    <a:prstGeom prst="rect">
                      <a:avLst/>
                    </a:prstGeom>
                    <a:noFill/>
                    <a:ln>
                      <a:noFill/>
                    </a:ln>
                  </pic:spPr>
                </pic:pic>
              </a:graphicData>
            </a:graphic>
          </wp:inline>
        </w:drawing>
      </w:r>
    </w:p>
    <w:p w:rsidR="00510212" w:rsidRDefault="00510212" w:rsidP="00220B65">
      <w:pPr>
        <w:pBdr>
          <w:top w:val="single" w:sz="4" w:space="1" w:color="auto"/>
          <w:left w:val="single" w:sz="4" w:space="1" w:color="auto"/>
          <w:bottom w:val="single" w:sz="4" w:space="1" w:color="auto"/>
          <w:right w:val="single" w:sz="4" w:space="1" w:color="auto"/>
        </w:pBdr>
      </w:pPr>
    </w:p>
    <w:p w:rsidR="00510212" w:rsidRDefault="00510212" w:rsidP="00220B65">
      <w:pPr>
        <w:pBdr>
          <w:top w:val="single" w:sz="4" w:space="1" w:color="auto"/>
          <w:left w:val="single" w:sz="4" w:space="1" w:color="auto"/>
          <w:bottom w:val="single" w:sz="4" w:space="1" w:color="auto"/>
          <w:right w:val="single" w:sz="4" w:space="1" w:color="auto"/>
        </w:pBdr>
        <w:jc w:val="center"/>
        <w:rPr>
          <w:sz w:val="72"/>
          <w:szCs w:val="72"/>
        </w:rPr>
      </w:pPr>
    </w:p>
    <w:p w:rsidR="00510212" w:rsidRPr="00510212" w:rsidRDefault="00510212" w:rsidP="00220B65">
      <w:pPr>
        <w:pBdr>
          <w:top w:val="single" w:sz="4" w:space="1" w:color="auto"/>
          <w:left w:val="single" w:sz="4" w:space="1" w:color="auto"/>
          <w:bottom w:val="single" w:sz="4" w:space="1" w:color="auto"/>
          <w:right w:val="single" w:sz="4" w:space="1" w:color="auto"/>
        </w:pBdr>
        <w:jc w:val="center"/>
        <w:rPr>
          <w:sz w:val="72"/>
          <w:szCs w:val="72"/>
        </w:rPr>
      </w:pPr>
      <w:r w:rsidRPr="00510212">
        <w:rPr>
          <w:sz w:val="72"/>
          <w:szCs w:val="72"/>
        </w:rPr>
        <w:t xml:space="preserve">Tenant Fees </w:t>
      </w:r>
    </w:p>
    <w:p w:rsidR="00510212" w:rsidRPr="00510212" w:rsidRDefault="00510212" w:rsidP="00220B65">
      <w:pPr>
        <w:pBdr>
          <w:top w:val="single" w:sz="4" w:space="1" w:color="auto"/>
          <w:left w:val="single" w:sz="4" w:space="1" w:color="auto"/>
          <w:bottom w:val="single" w:sz="4" w:space="1" w:color="auto"/>
          <w:right w:val="single" w:sz="4" w:space="1" w:color="auto"/>
        </w:pBdr>
        <w:jc w:val="center"/>
        <w:rPr>
          <w:sz w:val="72"/>
          <w:szCs w:val="72"/>
        </w:rPr>
      </w:pPr>
    </w:p>
    <w:p w:rsidR="00220B65" w:rsidRDefault="00220B65" w:rsidP="00220B65">
      <w:pPr>
        <w:pBdr>
          <w:top w:val="single" w:sz="4" w:space="1" w:color="auto"/>
          <w:left w:val="single" w:sz="4" w:space="1" w:color="auto"/>
          <w:bottom w:val="single" w:sz="4" w:space="1" w:color="auto"/>
          <w:right w:val="single" w:sz="4" w:space="1" w:color="auto"/>
        </w:pBdr>
        <w:jc w:val="center"/>
        <w:rPr>
          <w:sz w:val="72"/>
          <w:szCs w:val="72"/>
        </w:rPr>
      </w:pPr>
    </w:p>
    <w:p w:rsidR="00D204CC" w:rsidRDefault="00510212" w:rsidP="00220B65">
      <w:pPr>
        <w:pBdr>
          <w:top w:val="single" w:sz="4" w:space="1" w:color="auto"/>
          <w:left w:val="single" w:sz="4" w:space="1" w:color="auto"/>
          <w:bottom w:val="single" w:sz="4" w:space="1" w:color="auto"/>
          <w:right w:val="single" w:sz="4" w:space="1" w:color="auto"/>
        </w:pBdr>
        <w:jc w:val="center"/>
        <w:rPr>
          <w:sz w:val="72"/>
          <w:szCs w:val="72"/>
        </w:rPr>
      </w:pPr>
      <w:r w:rsidRPr="00510212">
        <w:rPr>
          <w:sz w:val="72"/>
          <w:szCs w:val="72"/>
        </w:rPr>
        <w:t xml:space="preserve">A </w:t>
      </w:r>
      <w:r w:rsidR="00135D7E">
        <w:rPr>
          <w:sz w:val="72"/>
          <w:szCs w:val="72"/>
        </w:rPr>
        <w:t>brief</w:t>
      </w:r>
      <w:r w:rsidRPr="00510212">
        <w:rPr>
          <w:sz w:val="72"/>
          <w:szCs w:val="72"/>
        </w:rPr>
        <w:t xml:space="preserve"> guide</w:t>
      </w:r>
      <w:r w:rsidR="00204DD1">
        <w:rPr>
          <w:sz w:val="72"/>
          <w:szCs w:val="72"/>
        </w:rPr>
        <w:t xml:space="preserve"> for </w:t>
      </w:r>
    </w:p>
    <w:p w:rsidR="00510212" w:rsidRDefault="00204DD1" w:rsidP="00220B65">
      <w:pPr>
        <w:pBdr>
          <w:top w:val="single" w:sz="4" w:space="1" w:color="auto"/>
          <w:left w:val="single" w:sz="4" w:space="1" w:color="auto"/>
          <w:bottom w:val="single" w:sz="4" w:space="1" w:color="auto"/>
          <w:right w:val="single" w:sz="4" w:space="1" w:color="auto"/>
        </w:pBdr>
        <w:jc w:val="center"/>
        <w:rPr>
          <w:sz w:val="72"/>
          <w:szCs w:val="72"/>
        </w:rPr>
      </w:pPr>
      <w:r>
        <w:rPr>
          <w:sz w:val="72"/>
          <w:szCs w:val="72"/>
        </w:rPr>
        <w:t>landlords and agents</w:t>
      </w:r>
    </w:p>
    <w:p w:rsidR="00220B65" w:rsidRDefault="00220B65" w:rsidP="00220B65">
      <w:pPr>
        <w:pBdr>
          <w:top w:val="single" w:sz="4" w:space="1" w:color="auto"/>
          <w:left w:val="single" w:sz="4" w:space="1" w:color="auto"/>
          <w:bottom w:val="single" w:sz="4" w:space="1" w:color="auto"/>
          <w:right w:val="single" w:sz="4" w:space="1" w:color="auto"/>
        </w:pBdr>
        <w:jc w:val="center"/>
        <w:rPr>
          <w:sz w:val="72"/>
          <w:szCs w:val="72"/>
        </w:rPr>
      </w:pPr>
    </w:p>
    <w:p w:rsidR="00C22B1F" w:rsidRDefault="00C22B1F" w:rsidP="00220B65">
      <w:pPr>
        <w:pBdr>
          <w:top w:val="single" w:sz="4" w:space="1" w:color="auto"/>
          <w:left w:val="single" w:sz="4" w:space="1" w:color="auto"/>
          <w:bottom w:val="single" w:sz="4" w:space="1" w:color="auto"/>
          <w:right w:val="single" w:sz="4" w:space="1" w:color="auto"/>
        </w:pBdr>
        <w:jc w:val="center"/>
        <w:rPr>
          <w:sz w:val="72"/>
          <w:szCs w:val="72"/>
        </w:rPr>
      </w:pPr>
    </w:p>
    <w:p w:rsidR="004D2FF9" w:rsidRDefault="004D2FF9" w:rsidP="00220B65">
      <w:pPr>
        <w:pBdr>
          <w:top w:val="single" w:sz="4" w:space="1" w:color="auto"/>
          <w:left w:val="single" w:sz="4" w:space="1" w:color="auto"/>
          <w:bottom w:val="single" w:sz="4" w:space="1" w:color="auto"/>
          <w:right w:val="single" w:sz="4" w:space="1" w:color="auto"/>
        </w:pBdr>
        <w:jc w:val="center"/>
        <w:rPr>
          <w:sz w:val="72"/>
          <w:szCs w:val="72"/>
        </w:rPr>
      </w:pPr>
    </w:p>
    <w:p w:rsidR="00220B65" w:rsidRDefault="00220B65" w:rsidP="00220B65">
      <w:pPr>
        <w:pBdr>
          <w:top w:val="single" w:sz="4" w:space="1" w:color="auto"/>
          <w:left w:val="single" w:sz="4" w:space="1" w:color="auto"/>
          <w:bottom w:val="single" w:sz="4" w:space="1" w:color="auto"/>
          <w:right w:val="single" w:sz="4" w:space="1" w:color="auto"/>
        </w:pBdr>
        <w:jc w:val="center"/>
        <w:rPr>
          <w:sz w:val="72"/>
          <w:szCs w:val="72"/>
        </w:rPr>
      </w:pPr>
    </w:p>
    <w:p w:rsidR="00510212" w:rsidRDefault="00510212" w:rsidP="00510212">
      <w:pPr>
        <w:rPr>
          <w:sz w:val="24"/>
          <w:szCs w:val="24"/>
        </w:rPr>
      </w:pPr>
    </w:p>
    <w:p w:rsidR="00220B65" w:rsidRDefault="00220B65" w:rsidP="00510212">
      <w:pPr>
        <w:rPr>
          <w:b/>
          <w:sz w:val="24"/>
          <w:szCs w:val="24"/>
        </w:rPr>
      </w:pPr>
    </w:p>
    <w:p w:rsidR="00D73FF2" w:rsidRDefault="00D73FF2" w:rsidP="00510212">
      <w:pPr>
        <w:rPr>
          <w:rFonts w:cstheme="minorHAnsi"/>
          <w:color w:val="007A53"/>
          <w:sz w:val="39"/>
          <w:szCs w:val="39"/>
        </w:rPr>
      </w:pPr>
    </w:p>
    <w:p w:rsidR="00510212" w:rsidRPr="00D73FF2" w:rsidRDefault="006D7A90" w:rsidP="00510212">
      <w:pPr>
        <w:rPr>
          <w:rFonts w:cstheme="minorHAnsi"/>
          <w:color w:val="007A53"/>
          <w:sz w:val="36"/>
          <w:szCs w:val="36"/>
        </w:rPr>
      </w:pPr>
      <w:r>
        <w:rPr>
          <w:rFonts w:cstheme="minorHAnsi"/>
          <w:color w:val="007A53"/>
          <w:sz w:val="36"/>
          <w:szCs w:val="36"/>
        </w:rPr>
        <w:t>A brief guide for landlords and letting agents.</w:t>
      </w:r>
    </w:p>
    <w:p w:rsidR="00D73FF2" w:rsidRPr="00D17D8E" w:rsidRDefault="006D7A90" w:rsidP="00921308">
      <w:pPr>
        <w:rPr>
          <w:rFonts w:ascii="Calibri" w:hAnsi="Calibri" w:cs="Calibri"/>
          <w:sz w:val="24"/>
          <w:szCs w:val="24"/>
        </w:rPr>
      </w:pPr>
      <w:r w:rsidRPr="00D17D8E">
        <w:rPr>
          <w:rFonts w:ascii="Calibri" w:hAnsi="Calibri" w:cs="Calibri"/>
          <w:sz w:val="24"/>
          <w:szCs w:val="24"/>
        </w:rPr>
        <w:t xml:space="preserve">This leaflet </w:t>
      </w:r>
      <w:r w:rsidR="00D17D8E" w:rsidRPr="00D17D8E">
        <w:rPr>
          <w:rFonts w:ascii="Calibri" w:hAnsi="Calibri" w:cs="Calibri"/>
          <w:sz w:val="24"/>
          <w:szCs w:val="24"/>
        </w:rPr>
        <w:t xml:space="preserve">has been produced </w:t>
      </w:r>
      <w:r w:rsidRPr="00D17D8E">
        <w:rPr>
          <w:rFonts w:ascii="Calibri" w:hAnsi="Calibri" w:cs="Calibri"/>
          <w:sz w:val="24"/>
          <w:szCs w:val="24"/>
        </w:rPr>
        <w:t xml:space="preserve">to provide </w:t>
      </w:r>
      <w:r w:rsidR="00D17D8E" w:rsidRPr="00D17D8E">
        <w:rPr>
          <w:rFonts w:ascii="Calibri" w:hAnsi="Calibri" w:cs="Calibri"/>
          <w:sz w:val="24"/>
          <w:szCs w:val="24"/>
        </w:rPr>
        <w:t xml:space="preserve">landlords and letting agents </w:t>
      </w:r>
      <w:r w:rsidR="004D2FF9">
        <w:rPr>
          <w:rFonts w:ascii="Calibri" w:hAnsi="Calibri" w:cs="Calibri"/>
          <w:sz w:val="24"/>
          <w:szCs w:val="24"/>
        </w:rPr>
        <w:t xml:space="preserve">with </w:t>
      </w:r>
      <w:r w:rsidRPr="00D17D8E">
        <w:rPr>
          <w:rFonts w:ascii="Calibri" w:hAnsi="Calibri" w:cs="Calibri"/>
          <w:sz w:val="24"/>
          <w:szCs w:val="24"/>
        </w:rPr>
        <w:t>a</w:t>
      </w:r>
      <w:r w:rsidR="00D17D8E">
        <w:rPr>
          <w:rFonts w:ascii="Calibri" w:hAnsi="Calibri" w:cs="Calibri"/>
          <w:sz w:val="24"/>
          <w:szCs w:val="24"/>
        </w:rPr>
        <w:t>n</w:t>
      </w:r>
      <w:r w:rsidRPr="00D17D8E">
        <w:rPr>
          <w:rFonts w:ascii="Calibri" w:hAnsi="Calibri" w:cs="Calibri"/>
          <w:sz w:val="24"/>
          <w:szCs w:val="24"/>
        </w:rPr>
        <w:t xml:space="preserve"> outline of what is required of</w:t>
      </w:r>
      <w:r w:rsidR="00D17D8E">
        <w:rPr>
          <w:rFonts w:ascii="Calibri" w:hAnsi="Calibri" w:cs="Calibri"/>
          <w:sz w:val="24"/>
          <w:szCs w:val="24"/>
        </w:rPr>
        <w:t xml:space="preserve"> them</w:t>
      </w:r>
      <w:r w:rsidRPr="00D17D8E">
        <w:rPr>
          <w:rFonts w:ascii="Calibri" w:hAnsi="Calibri" w:cs="Calibri"/>
          <w:sz w:val="24"/>
          <w:szCs w:val="24"/>
        </w:rPr>
        <w:t xml:space="preserve"> by the Tenant Fees Act 2019</w:t>
      </w:r>
      <w:r w:rsidR="006A3FF3" w:rsidRPr="00D17D8E">
        <w:rPr>
          <w:rFonts w:ascii="Calibri" w:hAnsi="Calibri" w:cs="Calibri"/>
          <w:sz w:val="24"/>
          <w:szCs w:val="24"/>
        </w:rPr>
        <w:t xml:space="preserve"> as from the 1</w:t>
      </w:r>
      <w:r w:rsidR="006A3FF3" w:rsidRPr="00D17D8E">
        <w:rPr>
          <w:rFonts w:ascii="Calibri" w:hAnsi="Calibri" w:cs="Calibri"/>
          <w:sz w:val="24"/>
          <w:szCs w:val="24"/>
          <w:vertAlign w:val="superscript"/>
        </w:rPr>
        <w:t>st</w:t>
      </w:r>
      <w:r w:rsidR="006A3FF3" w:rsidRPr="00D17D8E">
        <w:rPr>
          <w:rFonts w:ascii="Calibri" w:hAnsi="Calibri" w:cs="Calibri"/>
          <w:sz w:val="24"/>
          <w:szCs w:val="24"/>
        </w:rPr>
        <w:t xml:space="preserve"> June 2019</w:t>
      </w:r>
      <w:r w:rsidRPr="00D17D8E">
        <w:rPr>
          <w:rFonts w:ascii="Calibri" w:hAnsi="Calibri" w:cs="Calibri"/>
          <w:sz w:val="24"/>
          <w:szCs w:val="24"/>
        </w:rPr>
        <w:t xml:space="preserve">. If you have any </w:t>
      </w:r>
      <w:r w:rsidR="006A3FF3" w:rsidRPr="00D17D8E">
        <w:rPr>
          <w:rFonts w:ascii="Calibri" w:hAnsi="Calibri" w:cs="Calibri"/>
          <w:sz w:val="24"/>
          <w:szCs w:val="24"/>
        </w:rPr>
        <w:t xml:space="preserve">detailed </w:t>
      </w:r>
      <w:r w:rsidRPr="00D17D8E">
        <w:rPr>
          <w:rFonts w:ascii="Calibri" w:hAnsi="Calibri" w:cs="Calibri"/>
          <w:sz w:val="24"/>
          <w:szCs w:val="24"/>
        </w:rPr>
        <w:t xml:space="preserve">queries you should take legal advice or contact </w:t>
      </w:r>
      <w:r w:rsidR="00B83F2D">
        <w:rPr>
          <w:rFonts w:ascii="Calibri" w:hAnsi="Calibri" w:cs="Calibri"/>
          <w:sz w:val="24"/>
          <w:szCs w:val="24"/>
        </w:rPr>
        <w:t>T</w:t>
      </w:r>
      <w:r w:rsidRPr="00D17D8E">
        <w:rPr>
          <w:rFonts w:ascii="Calibri" w:hAnsi="Calibri" w:cs="Calibri"/>
          <w:sz w:val="24"/>
          <w:szCs w:val="24"/>
        </w:rPr>
        <w:t xml:space="preserve">rading </w:t>
      </w:r>
      <w:r w:rsidR="00B83F2D">
        <w:rPr>
          <w:rFonts w:ascii="Calibri" w:hAnsi="Calibri" w:cs="Calibri"/>
          <w:sz w:val="24"/>
          <w:szCs w:val="24"/>
        </w:rPr>
        <w:t>S</w:t>
      </w:r>
      <w:r w:rsidRPr="00D17D8E">
        <w:rPr>
          <w:rFonts w:ascii="Calibri" w:hAnsi="Calibri" w:cs="Calibri"/>
          <w:sz w:val="24"/>
          <w:szCs w:val="24"/>
        </w:rPr>
        <w:t>tandards.</w:t>
      </w:r>
    </w:p>
    <w:p w:rsidR="006D7A90" w:rsidRPr="00D17D8E" w:rsidRDefault="006D7A90" w:rsidP="00921308">
      <w:pPr>
        <w:rPr>
          <w:rFonts w:ascii="Calibri" w:hAnsi="Calibri" w:cs="Calibri"/>
          <w:sz w:val="24"/>
          <w:szCs w:val="24"/>
        </w:rPr>
      </w:pPr>
      <w:r w:rsidRPr="00D17D8E">
        <w:rPr>
          <w:rFonts w:ascii="Calibri" w:hAnsi="Calibri" w:cs="Calibri"/>
          <w:sz w:val="24"/>
          <w:szCs w:val="24"/>
        </w:rPr>
        <w:t>As from the 1</w:t>
      </w:r>
      <w:r w:rsidRPr="00D17D8E">
        <w:rPr>
          <w:rFonts w:ascii="Calibri" w:hAnsi="Calibri" w:cs="Calibri"/>
          <w:sz w:val="24"/>
          <w:szCs w:val="24"/>
          <w:vertAlign w:val="superscript"/>
        </w:rPr>
        <w:t>st</w:t>
      </w:r>
      <w:r w:rsidRPr="00D17D8E">
        <w:rPr>
          <w:rFonts w:ascii="Calibri" w:hAnsi="Calibri" w:cs="Calibri"/>
          <w:sz w:val="24"/>
          <w:szCs w:val="24"/>
        </w:rPr>
        <w:t xml:space="preserve"> June 2019 </w:t>
      </w:r>
      <w:r w:rsidR="007A571D">
        <w:rPr>
          <w:rFonts w:ascii="Calibri" w:hAnsi="Calibri" w:cs="Calibri"/>
          <w:sz w:val="24"/>
          <w:szCs w:val="24"/>
        </w:rPr>
        <w:t>l</w:t>
      </w:r>
      <w:r w:rsidRPr="00D17D8E">
        <w:rPr>
          <w:rFonts w:ascii="Calibri" w:hAnsi="Calibri" w:cs="Calibri"/>
          <w:sz w:val="24"/>
          <w:szCs w:val="24"/>
        </w:rPr>
        <w:t>andlords and letting agents will no longer be able to charge fees beyond those listed below</w:t>
      </w:r>
      <w:r w:rsidR="006A3FF3" w:rsidRPr="00D17D8E">
        <w:rPr>
          <w:rFonts w:ascii="Calibri" w:hAnsi="Calibri" w:cs="Calibri"/>
          <w:sz w:val="24"/>
          <w:szCs w:val="24"/>
        </w:rPr>
        <w:t>;</w:t>
      </w:r>
    </w:p>
    <w:p w:rsidR="006D7A90" w:rsidRPr="003C55CC" w:rsidRDefault="006D7A90" w:rsidP="006D7A90">
      <w:pPr>
        <w:rPr>
          <w:b/>
          <w:color w:val="007A53"/>
          <w:sz w:val="26"/>
          <w:szCs w:val="26"/>
        </w:rPr>
      </w:pPr>
      <w:r w:rsidRPr="003C55CC">
        <w:rPr>
          <w:b/>
          <w:color w:val="007A53"/>
          <w:sz w:val="26"/>
          <w:szCs w:val="26"/>
        </w:rPr>
        <w:t>• the rent</w:t>
      </w:r>
      <w:r w:rsidR="004D2FF9" w:rsidRPr="003C55CC">
        <w:rPr>
          <w:b/>
          <w:color w:val="007A53"/>
          <w:sz w:val="26"/>
          <w:szCs w:val="26"/>
        </w:rPr>
        <w:t>,</w:t>
      </w:r>
      <w:r w:rsidRPr="003C55CC">
        <w:rPr>
          <w:b/>
          <w:color w:val="007A53"/>
          <w:sz w:val="26"/>
          <w:szCs w:val="26"/>
        </w:rPr>
        <w:t xml:space="preserve"> </w:t>
      </w:r>
    </w:p>
    <w:p w:rsidR="006D7A90" w:rsidRPr="003C55CC" w:rsidRDefault="006D7A90" w:rsidP="006D7A90">
      <w:pPr>
        <w:ind w:left="142" w:hanging="142"/>
        <w:rPr>
          <w:b/>
          <w:color w:val="007A53"/>
          <w:sz w:val="26"/>
          <w:szCs w:val="26"/>
        </w:rPr>
      </w:pPr>
      <w:r w:rsidRPr="003C55CC">
        <w:rPr>
          <w:b/>
          <w:color w:val="007A53"/>
          <w:sz w:val="26"/>
          <w:szCs w:val="26"/>
        </w:rPr>
        <w:t xml:space="preserve">• a refundable tenancy deposit capped at no more than five weeks’ rent </w:t>
      </w:r>
      <w:r w:rsidR="006A3FF3" w:rsidRPr="003C55CC">
        <w:rPr>
          <w:b/>
          <w:color w:val="007A53"/>
          <w:sz w:val="26"/>
          <w:szCs w:val="26"/>
        </w:rPr>
        <w:t>(this increases to six weeks of rent where the annual rent is £50,000 or more)</w:t>
      </w:r>
      <w:r w:rsidR="004D2FF9" w:rsidRPr="003C55CC">
        <w:rPr>
          <w:b/>
          <w:color w:val="007A53"/>
          <w:sz w:val="26"/>
          <w:szCs w:val="26"/>
        </w:rPr>
        <w:t>,</w:t>
      </w:r>
    </w:p>
    <w:p w:rsidR="006D7A90" w:rsidRPr="003C55CC" w:rsidRDefault="006D7A90" w:rsidP="006D7A90">
      <w:pPr>
        <w:rPr>
          <w:b/>
          <w:color w:val="007A53"/>
          <w:sz w:val="26"/>
          <w:szCs w:val="26"/>
        </w:rPr>
      </w:pPr>
      <w:r w:rsidRPr="003C55CC">
        <w:rPr>
          <w:b/>
          <w:color w:val="007A53"/>
          <w:sz w:val="26"/>
          <w:szCs w:val="26"/>
        </w:rPr>
        <w:t>• a refundable holding deposit capped at no more than one week’s rent</w:t>
      </w:r>
      <w:r w:rsidR="004D2FF9" w:rsidRPr="003C55CC">
        <w:rPr>
          <w:b/>
          <w:color w:val="007A53"/>
          <w:sz w:val="26"/>
          <w:szCs w:val="26"/>
        </w:rPr>
        <w:t>,</w:t>
      </w:r>
      <w:r w:rsidRPr="003C55CC">
        <w:rPr>
          <w:b/>
          <w:color w:val="007A53"/>
          <w:sz w:val="26"/>
          <w:szCs w:val="26"/>
        </w:rPr>
        <w:t xml:space="preserve"> </w:t>
      </w:r>
    </w:p>
    <w:p w:rsidR="006D7A90" w:rsidRPr="003C55CC" w:rsidRDefault="006D7A90" w:rsidP="006D7A90">
      <w:pPr>
        <w:ind w:left="142" w:hanging="142"/>
        <w:rPr>
          <w:b/>
          <w:color w:val="007A53"/>
          <w:sz w:val="26"/>
          <w:szCs w:val="26"/>
        </w:rPr>
      </w:pPr>
      <w:r w:rsidRPr="003C55CC">
        <w:rPr>
          <w:b/>
          <w:color w:val="007A53"/>
          <w:sz w:val="26"/>
          <w:szCs w:val="26"/>
        </w:rPr>
        <w:t>• payments to change the tenancy when requested by the tenant</w:t>
      </w:r>
      <w:r w:rsidR="006A3FF3" w:rsidRPr="003C55CC">
        <w:rPr>
          <w:b/>
          <w:color w:val="007A53"/>
          <w:sz w:val="26"/>
          <w:szCs w:val="26"/>
        </w:rPr>
        <w:t xml:space="preserve">. This is </w:t>
      </w:r>
      <w:r w:rsidRPr="003C55CC">
        <w:rPr>
          <w:b/>
          <w:color w:val="007A53"/>
          <w:sz w:val="26"/>
          <w:szCs w:val="26"/>
        </w:rPr>
        <w:t>capped at £50, or reasonable costs incurred if higher</w:t>
      </w:r>
      <w:r w:rsidR="004D2FF9" w:rsidRPr="003C55CC">
        <w:rPr>
          <w:b/>
          <w:color w:val="007A53"/>
          <w:sz w:val="26"/>
          <w:szCs w:val="26"/>
        </w:rPr>
        <w:t>,</w:t>
      </w:r>
      <w:r w:rsidRPr="003C55CC">
        <w:rPr>
          <w:b/>
          <w:color w:val="007A53"/>
          <w:sz w:val="26"/>
          <w:szCs w:val="26"/>
        </w:rPr>
        <w:t xml:space="preserve"> </w:t>
      </w:r>
    </w:p>
    <w:p w:rsidR="006D7A90" w:rsidRPr="003C55CC" w:rsidRDefault="006D7A90" w:rsidP="004D2FF9">
      <w:pPr>
        <w:ind w:left="142" w:hanging="142"/>
        <w:rPr>
          <w:b/>
          <w:color w:val="007A53"/>
          <w:sz w:val="26"/>
          <w:szCs w:val="26"/>
        </w:rPr>
      </w:pPr>
      <w:r w:rsidRPr="003C55CC">
        <w:rPr>
          <w:b/>
          <w:color w:val="007A53"/>
          <w:sz w:val="26"/>
          <w:szCs w:val="26"/>
        </w:rPr>
        <w:t>• payments associated with early termination of the tenancy, when requested by the tenant</w:t>
      </w:r>
      <w:r w:rsidR="004D2FF9" w:rsidRPr="003C55CC">
        <w:rPr>
          <w:b/>
          <w:color w:val="007A53"/>
          <w:sz w:val="26"/>
          <w:szCs w:val="26"/>
        </w:rPr>
        <w:t>,</w:t>
      </w:r>
      <w:r w:rsidRPr="003C55CC">
        <w:rPr>
          <w:b/>
          <w:color w:val="007A53"/>
          <w:sz w:val="26"/>
          <w:szCs w:val="26"/>
        </w:rPr>
        <w:t xml:space="preserve"> </w:t>
      </w:r>
    </w:p>
    <w:p w:rsidR="006D7A90" w:rsidRPr="003C55CC" w:rsidRDefault="006D7A90" w:rsidP="005A4DE7">
      <w:pPr>
        <w:ind w:left="142" w:hanging="142"/>
        <w:rPr>
          <w:b/>
          <w:color w:val="007A53"/>
          <w:sz w:val="26"/>
          <w:szCs w:val="26"/>
        </w:rPr>
      </w:pPr>
      <w:r w:rsidRPr="003C55CC">
        <w:rPr>
          <w:b/>
          <w:color w:val="007A53"/>
          <w:sz w:val="26"/>
          <w:szCs w:val="26"/>
        </w:rPr>
        <w:t>• payments in respect of utilities, communication services, TV licence and council tax</w:t>
      </w:r>
      <w:r w:rsidR="004D2FF9" w:rsidRPr="003C55CC">
        <w:rPr>
          <w:b/>
          <w:color w:val="007A53"/>
          <w:sz w:val="26"/>
          <w:szCs w:val="26"/>
        </w:rPr>
        <w:t>,</w:t>
      </w:r>
      <w:r w:rsidRPr="003C55CC">
        <w:rPr>
          <w:b/>
          <w:color w:val="007A53"/>
          <w:sz w:val="26"/>
          <w:szCs w:val="26"/>
        </w:rPr>
        <w:t xml:space="preserve">  </w:t>
      </w:r>
    </w:p>
    <w:p w:rsidR="006D7A90" w:rsidRPr="003C55CC" w:rsidRDefault="006D7A90" w:rsidP="006D7A90">
      <w:pPr>
        <w:ind w:left="142" w:hanging="142"/>
        <w:rPr>
          <w:b/>
          <w:color w:val="007A53"/>
          <w:sz w:val="26"/>
          <w:szCs w:val="26"/>
        </w:rPr>
      </w:pPr>
      <w:r w:rsidRPr="003C55CC">
        <w:rPr>
          <w:b/>
          <w:color w:val="007A53"/>
          <w:sz w:val="26"/>
          <w:szCs w:val="26"/>
        </w:rPr>
        <w:t>• A default fee for late payment of rent and replacement of a lost key/security device giving access to the housing, where required under a tenancy agreement</w:t>
      </w:r>
    </w:p>
    <w:p w:rsidR="000F2142" w:rsidRPr="00D17D8E" w:rsidRDefault="004D2FF9" w:rsidP="00921308">
      <w:pPr>
        <w:rPr>
          <w:sz w:val="24"/>
          <w:szCs w:val="24"/>
        </w:rPr>
      </w:pPr>
      <w:r>
        <w:rPr>
          <w:sz w:val="24"/>
          <w:szCs w:val="24"/>
        </w:rPr>
        <w:t>A</w:t>
      </w:r>
      <w:r w:rsidR="006A3FF3" w:rsidRPr="00D17D8E">
        <w:rPr>
          <w:sz w:val="24"/>
          <w:szCs w:val="24"/>
        </w:rPr>
        <w:t>greement</w:t>
      </w:r>
      <w:r>
        <w:rPr>
          <w:sz w:val="24"/>
          <w:szCs w:val="24"/>
        </w:rPr>
        <w:t>s</w:t>
      </w:r>
      <w:r w:rsidR="006A3FF3" w:rsidRPr="00D17D8E">
        <w:rPr>
          <w:sz w:val="24"/>
          <w:szCs w:val="24"/>
        </w:rPr>
        <w:t xml:space="preserve"> </w:t>
      </w:r>
      <w:proofErr w:type="gramStart"/>
      <w:r w:rsidR="006D7A90" w:rsidRPr="00D17D8E">
        <w:rPr>
          <w:sz w:val="24"/>
          <w:szCs w:val="24"/>
        </w:rPr>
        <w:t>entered into</w:t>
      </w:r>
      <w:proofErr w:type="gramEnd"/>
      <w:r w:rsidR="006D7A90" w:rsidRPr="00D17D8E">
        <w:rPr>
          <w:sz w:val="24"/>
          <w:szCs w:val="24"/>
        </w:rPr>
        <w:t xml:space="preserve"> before 1 June 2019</w:t>
      </w:r>
      <w:r>
        <w:rPr>
          <w:sz w:val="24"/>
          <w:szCs w:val="24"/>
        </w:rPr>
        <w:t xml:space="preserve"> may</w:t>
      </w:r>
      <w:r w:rsidR="006D7A90" w:rsidRPr="00D17D8E">
        <w:rPr>
          <w:sz w:val="24"/>
          <w:szCs w:val="24"/>
        </w:rPr>
        <w:t xml:space="preserve"> still </w:t>
      </w:r>
      <w:r>
        <w:rPr>
          <w:sz w:val="24"/>
          <w:szCs w:val="24"/>
        </w:rPr>
        <w:t>include</w:t>
      </w:r>
      <w:r w:rsidR="006D7A90" w:rsidRPr="00D17D8E">
        <w:rPr>
          <w:sz w:val="24"/>
          <w:szCs w:val="24"/>
        </w:rPr>
        <w:t xml:space="preserve"> charge</w:t>
      </w:r>
      <w:r>
        <w:rPr>
          <w:sz w:val="24"/>
          <w:szCs w:val="24"/>
        </w:rPr>
        <w:t>s or</w:t>
      </w:r>
      <w:r w:rsidR="006A3FF3" w:rsidRPr="00D17D8E">
        <w:rPr>
          <w:sz w:val="24"/>
          <w:szCs w:val="24"/>
        </w:rPr>
        <w:t xml:space="preserve"> other</w:t>
      </w:r>
      <w:r w:rsidR="006D7A90" w:rsidRPr="00D17D8E">
        <w:rPr>
          <w:sz w:val="24"/>
          <w:szCs w:val="24"/>
        </w:rPr>
        <w:t xml:space="preserve"> fees until 31 May 2020</w:t>
      </w:r>
      <w:r>
        <w:rPr>
          <w:sz w:val="24"/>
          <w:szCs w:val="24"/>
        </w:rPr>
        <w:t>, when all fees not</w:t>
      </w:r>
      <w:r w:rsidR="005A4DE7">
        <w:rPr>
          <w:sz w:val="24"/>
          <w:szCs w:val="24"/>
        </w:rPr>
        <w:t xml:space="preserve"> </w:t>
      </w:r>
      <w:r w:rsidR="00B83F2D">
        <w:rPr>
          <w:sz w:val="24"/>
          <w:szCs w:val="24"/>
        </w:rPr>
        <w:t>contained</w:t>
      </w:r>
      <w:r>
        <w:rPr>
          <w:sz w:val="24"/>
          <w:szCs w:val="24"/>
        </w:rPr>
        <w:t xml:space="preserve"> in the list above must stop.</w:t>
      </w:r>
    </w:p>
    <w:p w:rsidR="000F2142" w:rsidRPr="00D17D8E" w:rsidRDefault="006A3FF3" w:rsidP="00921308">
      <w:pPr>
        <w:rPr>
          <w:sz w:val="24"/>
          <w:szCs w:val="24"/>
        </w:rPr>
      </w:pPr>
      <w:r w:rsidRPr="00D17D8E">
        <w:rPr>
          <w:sz w:val="24"/>
          <w:szCs w:val="24"/>
        </w:rPr>
        <w:t xml:space="preserve">Trading Standards authorities have a duty to enforce </w:t>
      </w:r>
      <w:r w:rsidR="00D17D8E" w:rsidRPr="00D17D8E">
        <w:rPr>
          <w:sz w:val="24"/>
          <w:szCs w:val="24"/>
        </w:rPr>
        <w:t>the Tenant Fees Act</w:t>
      </w:r>
      <w:r w:rsidRPr="00D17D8E">
        <w:rPr>
          <w:sz w:val="24"/>
          <w:szCs w:val="24"/>
        </w:rPr>
        <w:t xml:space="preserve">. You can </w:t>
      </w:r>
      <w:r w:rsidR="00B83F2D">
        <w:rPr>
          <w:sz w:val="24"/>
          <w:szCs w:val="24"/>
        </w:rPr>
        <w:t xml:space="preserve">contact </w:t>
      </w:r>
      <w:r w:rsidR="00B83F2D" w:rsidRPr="00D17D8E">
        <w:rPr>
          <w:sz w:val="24"/>
          <w:szCs w:val="24"/>
        </w:rPr>
        <w:t>your</w:t>
      </w:r>
      <w:r w:rsidRPr="00D17D8E">
        <w:rPr>
          <w:sz w:val="24"/>
          <w:szCs w:val="24"/>
        </w:rPr>
        <w:t xml:space="preserve"> local Trading Standards </w:t>
      </w:r>
      <w:r w:rsidR="005A4EF9">
        <w:rPr>
          <w:sz w:val="24"/>
          <w:szCs w:val="24"/>
        </w:rPr>
        <w:t>service</w:t>
      </w:r>
      <w:r w:rsidR="007A571D">
        <w:rPr>
          <w:sz w:val="24"/>
          <w:szCs w:val="24"/>
        </w:rPr>
        <w:t xml:space="preserve"> in Waltham Forest via </w:t>
      </w:r>
      <w:r w:rsidR="00B83F2D">
        <w:rPr>
          <w:sz w:val="24"/>
          <w:szCs w:val="24"/>
        </w:rPr>
        <w:t>C</w:t>
      </w:r>
      <w:r w:rsidR="007A571D">
        <w:rPr>
          <w:sz w:val="24"/>
          <w:szCs w:val="24"/>
        </w:rPr>
        <w:t xml:space="preserve">itizens </w:t>
      </w:r>
      <w:r w:rsidR="00B83F2D">
        <w:rPr>
          <w:sz w:val="24"/>
          <w:szCs w:val="24"/>
        </w:rPr>
        <w:t>A</w:t>
      </w:r>
      <w:r w:rsidR="007A571D">
        <w:rPr>
          <w:sz w:val="24"/>
          <w:szCs w:val="24"/>
        </w:rPr>
        <w:t xml:space="preserve">dvice </w:t>
      </w:r>
      <w:r w:rsidR="00B83F2D">
        <w:rPr>
          <w:sz w:val="24"/>
          <w:szCs w:val="24"/>
        </w:rPr>
        <w:t>Consumer Services</w:t>
      </w:r>
      <w:r w:rsidR="007A571D">
        <w:rPr>
          <w:sz w:val="24"/>
          <w:szCs w:val="24"/>
        </w:rPr>
        <w:t xml:space="preserve"> on</w:t>
      </w:r>
      <w:r w:rsidR="00B83F2D">
        <w:rPr>
          <w:sz w:val="24"/>
          <w:szCs w:val="24"/>
        </w:rPr>
        <w:t xml:space="preserve"> Tel: 03454</w:t>
      </w:r>
      <w:r w:rsidR="00C80B84">
        <w:rPr>
          <w:sz w:val="24"/>
          <w:szCs w:val="24"/>
        </w:rPr>
        <w:t xml:space="preserve"> </w:t>
      </w:r>
      <w:r w:rsidR="00B83F2D">
        <w:rPr>
          <w:sz w:val="24"/>
          <w:szCs w:val="24"/>
        </w:rPr>
        <w:t>04</w:t>
      </w:r>
      <w:r w:rsidR="00C80B84">
        <w:rPr>
          <w:sz w:val="24"/>
          <w:szCs w:val="24"/>
        </w:rPr>
        <w:t xml:space="preserve"> </w:t>
      </w:r>
      <w:r w:rsidR="00B83F2D">
        <w:rPr>
          <w:sz w:val="24"/>
          <w:szCs w:val="24"/>
        </w:rPr>
        <w:t>05</w:t>
      </w:r>
      <w:r w:rsidR="00C80B84">
        <w:rPr>
          <w:sz w:val="24"/>
          <w:szCs w:val="24"/>
        </w:rPr>
        <w:t xml:space="preserve"> </w:t>
      </w:r>
      <w:r w:rsidR="00B83F2D">
        <w:rPr>
          <w:sz w:val="24"/>
          <w:szCs w:val="24"/>
        </w:rPr>
        <w:t>06</w:t>
      </w:r>
    </w:p>
    <w:p w:rsidR="005A4EF9" w:rsidRDefault="005A4EF9" w:rsidP="00921308">
      <w:pPr>
        <w:rPr>
          <w:b/>
          <w:color w:val="007A53"/>
          <w:sz w:val="24"/>
          <w:szCs w:val="24"/>
        </w:rPr>
      </w:pPr>
    </w:p>
    <w:p w:rsidR="000F2142" w:rsidRPr="00B83F2D" w:rsidRDefault="006A3FF3" w:rsidP="00921308">
      <w:pPr>
        <w:rPr>
          <w:b/>
          <w:color w:val="007A53"/>
          <w:sz w:val="24"/>
          <w:szCs w:val="24"/>
        </w:rPr>
      </w:pPr>
      <w:r w:rsidRPr="00B83F2D">
        <w:rPr>
          <w:b/>
          <w:color w:val="007A53"/>
          <w:sz w:val="24"/>
          <w:szCs w:val="24"/>
        </w:rPr>
        <w:t xml:space="preserve">Who are Trading Standards? </w:t>
      </w:r>
    </w:p>
    <w:p w:rsidR="000F2142" w:rsidRPr="00D17D8E" w:rsidRDefault="006A3FF3" w:rsidP="00921308">
      <w:pPr>
        <w:rPr>
          <w:sz w:val="24"/>
          <w:szCs w:val="24"/>
        </w:rPr>
      </w:pPr>
      <w:r w:rsidRPr="00D17D8E">
        <w:rPr>
          <w:sz w:val="24"/>
          <w:szCs w:val="24"/>
        </w:rPr>
        <w:t xml:space="preserve">Trading Standards can determine whether a tenant or relevant person has been charged an unlawful or unfair fee by a landlord or agent and can issue a fine for breach of the ban, if this </w:t>
      </w:r>
      <w:r w:rsidR="005A4EF9">
        <w:rPr>
          <w:sz w:val="24"/>
          <w:szCs w:val="24"/>
        </w:rPr>
        <w:t>is</w:t>
      </w:r>
      <w:r w:rsidRPr="00D17D8E">
        <w:rPr>
          <w:sz w:val="24"/>
          <w:szCs w:val="24"/>
        </w:rPr>
        <w:t xml:space="preserve"> established. </w:t>
      </w:r>
    </w:p>
    <w:p w:rsidR="005A4EF9" w:rsidRPr="00B83F2D" w:rsidRDefault="006A3FF3" w:rsidP="00921308">
      <w:pPr>
        <w:rPr>
          <w:b/>
          <w:color w:val="00682F"/>
          <w:sz w:val="24"/>
          <w:szCs w:val="24"/>
        </w:rPr>
      </w:pPr>
      <w:r w:rsidRPr="00B83F2D">
        <w:rPr>
          <w:b/>
          <w:color w:val="00682F"/>
          <w:sz w:val="24"/>
          <w:szCs w:val="24"/>
        </w:rPr>
        <w:t xml:space="preserve">Do tenants have any other enforcement options? </w:t>
      </w:r>
    </w:p>
    <w:p w:rsidR="000F2142" w:rsidRPr="00D17D8E" w:rsidRDefault="006A3FF3" w:rsidP="00921308">
      <w:pPr>
        <w:rPr>
          <w:sz w:val="24"/>
          <w:szCs w:val="24"/>
        </w:rPr>
      </w:pPr>
      <w:r w:rsidRPr="00D17D8E">
        <w:rPr>
          <w:sz w:val="24"/>
          <w:szCs w:val="24"/>
        </w:rPr>
        <w:t>The Act also makes provision for tenants to be able to recover unlawfully charged fees through the First-tier Tribunal</w:t>
      </w:r>
      <w:r w:rsidR="000F2142" w:rsidRPr="00D17D8E">
        <w:rPr>
          <w:sz w:val="24"/>
          <w:szCs w:val="24"/>
        </w:rPr>
        <w:t>.</w:t>
      </w:r>
      <w:r w:rsidRPr="00D17D8E">
        <w:rPr>
          <w:sz w:val="24"/>
          <w:szCs w:val="24"/>
        </w:rPr>
        <w:t xml:space="preserve"> </w:t>
      </w:r>
      <w:r w:rsidR="000F2142" w:rsidRPr="00D17D8E">
        <w:rPr>
          <w:sz w:val="24"/>
          <w:szCs w:val="24"/>
        </w:rPr>
        <w:t xml:space="preserve">An outstanding unlawful fee </w:t>
      </w:r>
      <w:r w:rsidRPr="00D17D8E">
        <w:rPr>
          <w:sz w:val="24"/>
          <w:szCs w:val="24"/>
        </w:rPr>
        <w:t xml:space="preserve">prevents landlords from recovering possession of their property via the section 21 eviction procedure until they have repaid </w:t>
      </w:r>
      <w:r w:rsidR="000F2142" w:rsidRPr="00D17D8E">
        <w:rPr>
          <w:sz w:val="24"/>
          <w:szCs w:val="24"/>
        </w:rPr>
        <w:t xml:space="preserve">the </w:t>
      </w:r>
      <w:r w:rsidRPr="00D17D8E">
        <w:rPr>
          <w:sz w:val="24"/>
          <w:szCs w:val="24"/>
        </w:rPr>
        <w:t xml:space="preserve">unlawfully charged fees or holding deposit. Tenants can also seek repayment through the relevant redress scheme (where this concerns an agent). </w:t>
      </w:r>
    </w:p>
    <w:p w:rsidR="005A4EF9" w:rsidRPr="00B83F2D" w:rsidRDefault="006A3FF3" w:rsidP="00921308">
      <w:pPr>
        <w:rPr>
          <w:color w:val="00682F"/>
          <w:sz w:val="24"/>
          <w:szCs w:val="24"/>
        </w:rPr>
      </w:pPr>
      <w:r w:rsidRPr="00B83F2D">
        <w:rPr>
          <w:b/>
          <w:color w:val="00682F"/>
          <w:sz w:val="24"/>
          <w:szCs w:val="24"/>
        </w:rPr>
        <w:lastRenderedPageBreak/>
        <w:t xml:space="preserve">What is a lead enforcement authority? </w:t>
      </w:r>
    </w:p>
    <w:p w:rsidR="006D7A90" w:rsidRPr="00D17D8E" w:rsidRDefault="006A3FF3" w:rsidP="00921308">
      <w:pPr>
        <w:rPr>
          <w:sz w:val="24"/>
          <w:szCs w:val="24"/>
        </w:rPr>
      </w:pPr>
      <w:r w:rsidRPr="00D17D8E">
        <w:rPr>
          <w:sz w:val="24"/>
          <w:szCs w:val="24"/>
        </w:rPr>
        <w:t>The Secretary of State (i.e. the Government) can arrange for a lead enforcement authority whose duty it is to oversee the operation of the tenant fees ban. Bristol City Council is currently appointed as the lead enforcement authority, operating as the National Trading Standards Lettings and Estate Agency Team.</w:t>
      </w:r>
    </w:p>
    <w:p w:rsidR="00D17D8E" w:rsidRPr="00D17D8E" w:rsidRDefault="006A3FF3" w:rsidP="00921308">
      <w:pPr>
        <w:rPr>
          <w:b/>
          <w:color w:val="007A53"/>
          <w:sz w:val="24"/>
          <w:szCs w:val="24"/>
        </w:rPr>
      </w:pPr>
      <w:r w:rsidRPr="00D17D8E">
        <w:rPr>
          <w:b/>
          <w:color w:val="007A53"/>
          <w:sz w:val="24"/>
          <w:szCs w:val="24"/>
        </w:rPr>
        <w:t xml:space="preserve">What evidence will I need? </w:t>
      </w:r>
    </w:p>
    <w:p w:rsidR="006A3FF3" w:rsidRPr="00D17D8E" w:rsidRDefault="006A3FF3" w:rsidP="00921308">
      <w:pPr>
        <w:rPr>
          <w:rFonts w:ascii="Calibri" w:hAnsi="Calibri" w:cs="Calibri"/>
          <w:sz w:val="24"/>
          <w:szCs w:val="24"/>
        </w:rPr>
      </w:pPr>
      <w:r w:rsidRPr="00D17D8E">
        <w:rPr>
          <w:sz w:val="24"/>
          <w:szCs w:val="24"/>
        </w:rPr>
        <w:t>You should keep any evidence of payments that you have requested a tenant to make</w:t>
      </w:r>
      <w:r w:rsidR="005A4DE7">
        <w:rPr>
          <w:sz w:val="24"/>
          <w:szCs w:val="24"/>
        </w:rPr>
        <w:t>,</w:t>
      </w:r>
      <w:r w:rsidRPr="00D17D8E">
        <w:rPr>
          <w:sz w:val="24"/>
          <w:szCs w:val="24"/>
        </w:rPr>
        <w:t xml:space="preserve"> </w:t>
      </w:r>
      <w:r w:rsidR="005A4DE7">
        <w:rPr>
          <w:sz w:val="24"/>
          <w:szCs w:val="24"/>
        </w:rPr>
        <w:t>for example;</w:t>
      </w:r>
      <w:r w:rsidRPr="00D17D8E">
        <w:rPr>
          <w:sz w:val="24"/>
          <w:szCs w:val="24"/>
        </w:rPr>
        <w:t xml:space="preserve"> • tenancy or pre-tenancy agreements • receipts and invoices • bank statements • correspondence from the tenant – emails, letters, texts • notes that you made at the time or shortly after any conversation with a tenant</w:t>
      </w:r>
    </w:p>
    <w:p w:rsidR="007A571D" w:rsidRPr="00B83F2D" w:rsidRDefault="007A571D" w:rsidP="003B6827">
      <w:pPr>
        <w:pStyle w:val="NormalWeb"/>
        <w:spacing w:before="0" w:beforeAutospacing="0" w:after="150" w:afterAutospacing="0"/>
        <w:rPr>
          <w:rFonts w:asciiTheme="minorHAnsi" w:hAnsiTheme="minorHAnsi" w:cstheme="minorHAnsi"/>
          <w:b/>
          <w:color w:val="00682F"/>
        </w:rPr>
      </w:pPr>
      <w:r w:rsidRPr="00B83F2D">
        <w:rPr>
          <w:rFonts w:asciiTheme="minorHAnsi" w:hAnsiTheme="minorHAnsi" w:cstheme="minorHAnsi"/>
          <w:b/>
          <w:color w:val="00682F"/>
        </w:rPr>
        <w:t>What are the penalties for failing to comply?</w:t>
      </w:r>
    </w:p>
    <w:p w:rsidR="004D2FF9" w:rsidRDefault="0024549C" w:rsidP="003B6827">
      <w:pPr>
        <w:pStyle w:val="NormalWeb"/>
        <w:spacing w:before="0" w:beforeAutospacing="0" w:after="150" w:afterAutospacing="0"/>
      </w:pPr>
      <w:r>
        <w:rPr>
          <w:rFonts w:asciiTheme="minorHAnsi" w:hAnsiTheme="minorHAnsi" w:cstheme="minorHAnsi"/>
        </w:rPr>
        <w:t>In the first instance a</w:t>
      </w:r>
      <w:r w:rsidR="007A571D" w:rsidRPr="007A571D">
        <w:rPr>
          <w:rFonts w:asciiTheme="minorHAnsi" w:hAnsiTheme="minorHAnsi" w:cstheme="minorHAnsi"/>
        </w:rPr>
        <w:t xml:space="preserve"> breach of the legislation will usually be </w:t>
      </w:r>
      <w:r w:rsidR="004D2FF9">
        <w:rPr>
          <w:rFonts w:asciiTheme="minorHAnsi" w:hAnsiTheme="minorHAnsi" w:cstheme="minorHAnsi"/>
        </w:rPr>
        <w:t xml:space="preserve">considered </w:t>
      </w:r>
      <w:r w:rsidR="007A571D" w:rsidRPr="007A571D">
        <w:rPr>
          <w:rFonts w:asciiTheme="minorHAnsi" w:hAnsiTheme="minorHAnsi" w:cstheme="minorHAnsi"/>
        </w:rPr>
        <w:t>a civil offence</w:t>
      </w:r>
      <w:r w:rsidR="004D2FF9">
        <w:rPr>
          <w:rFonts w:asciiTheme="minorHAnsi" w:hAnsiTheme="minorHAnsi" w:cstheme="minorHAnsi"/>
        </w:rPr>
        <w:t xml:space="preserve">. In such cases </w:t>
      </w:r>
      <w:r w:rsidR="007A571D" w:rsidRPr="007A571D">
        <w:rPr>
          <w:rFonts w:asciiTheme="minorHAnsi" w:hAnsiTheme="minorHAnsi" w:cstheme="minorHAnsi"/>
        </w:rPr>
        <w:t>a financial penalty of up to £5,000</w:t>
      </w:r>
      <w:r w:rsidR="004D2FF9">
        <w:rPr>
          <w:rFonts w:asciiTheme="minorHAnsi" w:hAnsiTheme="minorHAnsi" w:cstheme="minorHAnsi"/>
        </w:rPr>
        <w:t xml:space="preserve"> will be levied on you</w:t>
      </w:r>
      <w:r w:rsidR="007A571D">
        <w:rPr>
          <w:rFonts w:asciiTheme="minorHAnsi" w:hAnsiTheme="minorHAnsi" w:cstheme="minorHAnsi"/>
        </w:rPr>
        <w:t>.</w:t>
      </w:r>
      <w:r w:rsidR="007A571D">
        <w:t xml:space="preserve"> </w:t>
      </w:r>
    </w:p>
    <w:p w:rsidR="004D2FF9" w:rsidRDefault="004D2FF9" w:rsidP="003B6827">
      <w:pPr>
        <w:pStyle w:val="NormalWeb"/>
        <w:spacing w:before="0" w:beforeAutospacing="0" w:after="150" w:afterAutospacing="0"/>
        <w:rPr>
          <w:rFonts w:asciiTheme="minorHAnsi" w:hAnsiTheme="minorHAnsi" w:cstheme="minorHAnsi"/>
        </w:rPr>
      </w:pPr>
      <w:r w:rsidRPr="004D2FF9">
        <w:rPr>
          <w:rFonts w:asciiTheme="minorHAnsi" w:hAnsiTheme="minorHAnsi" w:cstheme="minorHAnsi"/>
        </w:rPr>
        <w:t xml:space="preserve">If a subsequent breach occurs within 5 years </w:t>
      </w:r>
      <w:r>
        <w:rPr>
          <w:rFonts w:asciiTheme="minorHAnsi" w:hAnsiTheme="minorHAnsi" w:cstheme="minorHAnsi"/>
        </w:rPr>
        <w:t xml:space="preserve">then </w:t>
      </w:r>
      <w:r w:rsidR="007A571D" w:rsidRPr="007A571D">
        <w:rPr>
          <w:rFonts w:asciiTheme="minorHAnsi" w:hAnsiTheme="minorHAnsi" w:cstheme="minorHAnsi"/>
        </w:rPr>
        <w:t xml:space="preserve">an offence is committed, </w:t>
      </w:r>
      <w:r>
        <w:rPr>
          <w:rFonts w:asciiTheme="minorHAnsi" w:hAnsiTheme="minorHAnsi" w:cstheme="minorHAnsi"/>
        </w:rPr>
        <w:t>and local authorities may prosecute or</w:t>
      </w:r>
      <w:r w:rsidR="007A571D" w:rsidRPr="007A571D">
        <w:rPr>
          <w:rFonts w:asciiTheme="minorHAnsi" w:hAnsiTheme="minorHAnsi" w:cstheme="minorHAnsi"/>
        </w:rPr>
        <w:t xml:space="preserve"> may impose a financial penalty of up to £30,000 as an alternative to prosecution. In such a case, local authorities will have discretion whether to prosecute or impose a financial penalty. Where a financial penalty is imposed this does not amount to a criminal conviction. </w:t>
      </w:r>
    </w:p>
    <w:p w:rsidR="007A571D" w:rsidRDefault="007A571D" w:rsidP="003B6827">
      <w:pPr>
        <w:pStyle w:val="NormalWeb"/>
        <w:spacing w:before="0" w:beforeAutospacing="0" w:after="150" w:afterAutospacing="0"/>
        <w:rPr>
          <w:rFonts w:asciiTheme="minorHAnsi" w:hAnsiTheme="minorHAnsi" w:cstheme="minorHAnsi"/>
        </w:rPr>
      </w:pPr>
      <w:r w:rsidRPr="007A571D">
        <w:rPr>
          <w:rFonts w:asciiTheme="minorHAnsi" w:hAnsiTheme="minorHAnsi" w:cstheme="minorHAnsi"/>
        </w:rPr>
        <w:t xml:space="preserve">A breach of the requirement to repay the holding deposit is a civil offence and will be subject to a financial penalty of up to £5,000. </w:t>
      </w:r>
    </w:p>
    <w:p w:rsidR="009F5E04" w:rsidRPr="007A571D" w:rsidRDefault="007A571D" w:rsidP="003B6827">
      <w:pPr>
        <w:pStyle w:val="NormalWeb"/>
        <w:spacing w:before="0" w:beforeAutospacing="0" w:after="150" w:afterAutospacing="0"/>
        <w:rPr>
          <w:rFonts w:asciiTheme="minorHAnsi" w:hAnsiTheme="minorHAnsi" w:cstheme="minorHAnsi"/>
        </w:rPr>
      </w:pPr>
      <w:r w:rsidRPr="007A571D">
        <w:rPr>
          <w:rFonts w:asciiTheme="minorHAnsi" w:hAnsiTheme="minorHAnsi" w:cstheme="minorHAnsi"/>
        </w:rPr>
        <w:t>Each request ma</w:t>
      </w:r>
      <w:r w:rsidR="004D2FF9">
        <w:rPr>
          <w:rFonts w:asciiTheme="minorHAnsi" w:hAnsiTheme="minorHAnsi" w:cstheme="minorHAnsi"/>
        </w:rPr>
        <w:t>d</w:t>
      </w:r>
      <w:r w:rsidRPr="007A571D">
        <w:rPr>
          <w:rFonts w:asciiTheme="minorHAnsi" w:hAnsiTheme="minorHAnsi" w:cstheme="minorHAnsi"/>
        </w:rPr>
        <w:t>e for a prohibited payment is a breach</w:t>
      </w:r>
      <w:r w:rsidR="004D2FF9">
        <w:rPr>
          <w:rFonts w:asciiTheme="minorHAnsi" w:hAnsiTheme="minorHAnsi" w:cstheme="minorHAnsi"/>
        </w:rPr>
        <w:t xml:space="preserve"> which could result in multiple penalties.</w:t>
      </w:r>
    </w:p>
    <w:p w:rsidR="005A4DE7" w:rsidRDefault="005A4DE7" w:rsidP="003B6827">
      <w:pPr>
        <w:pStyle w:val="NormalWeb"/>
        <w:spacing w:before="0" w:beforeAutospacing="0" w:after="150" w:afterAutospacing="0"/>
        <w:rPr>
          <w:rFonts w:asciiTheme="minorHAnsi" w:hAnsiTheme="minorHAnsi" w:cstheme="minorHAnsi"/>
        </w:rPr>
      </w:pPr>
    </w:p>
    <w:p w:rsidR="003B6827" w:rsidRPr="00D17D8E" w:rsidRDefault="003B6827" w:rsidP="003B6827">
      <w:pPr>
        <w:pStyle w:val="NormalWeb"/>
        <w:spacing w:before="0" w:beforeAutospacing="0" w:after="150" w:afterAutospacing="0"/>
        <w:rPr>
          <w:rFonts w:asciiTheme="minorHAnsi" w:hAnsiTheme="minorHAnsi" w:cstheme="minorHAnsi"/>
          <w:color w:val="333333"/>
        </w:rPr>
      </w:pPr>
      <w:r w:rsidRPr="00D17D8E">
        <w:rPr>
          <w:rFonts w:asciiTheme="minorHAnsi" w:hAnsiTheme="minorHAnsi" w:cstheme="minorHAnsi"/>
        </w:rPr>
        <w:t xml:space="preserve">Download and keep a copy of the Government’s </w:t>
      </w:r>
      <w:hyperlink r:id="rId7" w:tgtFrame="_blank" w:history="1">
        <w:r w:rsidRPr="00D17D8E">
          <w:rPr>
            <w:rStyle w:val="Hyperlink"/>
            <w:rFonts w:asciiTheme="minorHAnsi" w:hAnsiTheme="minorHAnsi" w:cstheme="minorHAnsi"/>
            <w:b/>
            <w:bCs/>
            <w:color w:val="337AB7"/>
          </w:rPr>
          <w:t xml:space="preserve">“Guidance for </w:t>
        </w:r>
        <w:r w:rsidR="00D17D8E" w:rsidRPr="00D17D8E">
          <w:rPr>
            <w:rStyle w:val="Hyperlink"/>
            <w:rFonts w:asciiTheme="minorHAnsi" w:hAnsiTheme="minorHAnsi" w:cstheme="minorHAnsi"/>
            <w:b/>
            <w:bCs/>
            <w:color w:val="337AB7"/>
          </w:rPr>
          <w:t>Landlords and Agents</w:t>
        </w:r>
        <w:r w:rsidRPr="00D17D8E">
          <w:rPr>
            <w:rStyle w:val="Hyperlink"/>
            <w:rFonts w:asciiTheme="minorHAnsi" w:hAnsiTheme="minorHAnsi" w:cstheme="minorHAnsi"/>
            <w:b/>
            <w:bCs/>
            <w:color w:val="337AB7"/>
          </w:rPr>
          <w:t>” document</w:t>
        </w:r>
      </w:hyperlink>
      <w:r w:rsidRPr="00D17D8E">
        <w:rPr>
          <w:rStyle w:val="Strong"/>
          <w:rFonts w:asciiTheme="minorHAnsi" w:hAnsiTheme="minorHAnsi" w:cstheme="minorHAnsi"/>
          <w:color w:val="333333"/>
        </w:rPr>
        <w:t>.</w:t>
      </w:r>
      <w:r w:rsidR="005F45DA" w:rsidRPr="00D17D8E">
        <w:rPr>
          <w:rStyle w:val="Strong"/>
          <w:rFonts w:asciiTheme="minorHAnsi" w:hAnsiTheme="minorHAnsi" w:cstheme="minorHAnsi"/>
          <w:color w:val="333333"/>
        </w:rPr>
        <w:t xml:space="preserve"> </w:t>
      </w:r>
      <w:hyperlink r:id="rId8" w:history="1">
        <w:r w:rsidR="00D17D8E" w:rsidRPr="00D17D8E">
          <w:rPr>
            <w:rFonts w:asciiTheme="minorHAnsi" w:eastAsiaTheme="minorHAnsi" w:hAnsiTheme="minorHAnsi" w:cstheme="minorBidi"/>
            <w:color w:val="0000FF"/>
            <w:u w:val="single"/>
            <w:lang w:eastAsia="en-US"/>
          </w:rPr>
          <w:t>https://assets.publishing.service.gov.uk/government/uploads/system/uploads/attachment_data/file/819634/TFA_Landlord_and_Agent_Guidance_190722.pdf</w:t>
        </w:r>
      </w:hyperlink>
    </w:p>
    <w:p w:rsidR="003B6827" w:rsidRDefault="003B6827" w:rsidP="003B6827">
      <w:pPr>
        <w:pStyle w:val="NormalWeb"/>
        <w:spacing w:before="0" w:beforeAutospacing="0" w:after="150" w:afterAutospacing="0"/>
        <w:rPr>
          <w:rFonts w:asciiTheme="minorHAnsi" w:hAnsiTheme="minorHAnsi" w:cstheme="minorHAnsi"/>
        </w:rPr>
      </w:pPr>
    </w:p>
    <w:p w:rsidR="005A4DE7" w:rsidRPr="00D17D8E" w:rsidRDefault="005A4DE7" w:rsidP="003B6827">
      <w:pPr>
        <w:pStyle w:val="NormalWeb"/>
        <w:spacing w:before="0" w:beforeAutospacing="0" w:after="150" w:afterAutospacing="0"/>
        <w:rPr>
          <w:rFonts w:asciiTheme="minorHAnsi" w:hAnsiTheme="minorHAnsi" w:cstheme="minorHAnsi"/>
        </w:rPr>
      </w:pPr>
    </w:p>
    <w:p w:rsidR="00A46970" w:rsidRPr="00D17D8E" w:rsidRDefault="003B6827" w:rsidP="00C22B1F">
      <w:pPr>
        <w:rPr>
          <w:sz w:val="24"/>
          <w:szCs w:val="24"/>
        </w:rPr>
      </w:pPr>
      <w:r w:rsidRPr="00D17D8E">
        <w:rPr>
          <w:sz w:val="24"/>
          <w:szCs w:val="24"/>
        </w:rPr>
        <w:t>Contacts;</w:t>
      </w:r>
    </w:p>
    <w:p w:rsidR="003B6827" w:rsidRPr="00D17D8E" w:rsidRDefault="003B6827" w:rsidP="00C22B1F">
      <w:pPr>
        <w:rPr>
          <w:sz w:val="24"/>
          <w:szCs w:val="24"/>
        </w:rPr>
      </w:pPr>
      <w:r w:rsidRPr="00D17D8E">
        <w:rPr>
          <w:sz w:val="24"/>
          <w:szCs w:val="24"/>
        </w:rPr>
        <w:t>Waltham Forest Housing Advice; 020 849</w:t>
      </w:r>
      <w:r w:rsidR="009F5E04" w:rsidRPr="00D17D8E">
        <w:rPr>
          <w:sz w:val="24"/>
          <w:szCs w:val="24"/>
        </w:rPr>
        <w:t xml:space="preserve">6 </w:t>
      </w:r>
      <w:r w:rsidR="003F3E14" w:rsidRPr="00D17D8E">
        <w:rPr>
          <w:sz w:val="24"/>
          <w:szCs w:val="24"/>
        </w:rPr>
        <w:t>3000</w:t>
      </w:r>
    </w:p>
    <w:p w:rsidR="00D10D91" w:rsidRPr="00D17D8E" w:rsidRDefault="00D10D91" w:rsidP="00C22B1F">
      <w:pPr>
        <w:rPr>
          <w:sz w:val="24"/>
          <w:szCs w:val="24"/>
        </w:rPr>
      </w:pPr>
      <w:r w:rsidRPr="00D17D8E">
        <w:rPr>
          <w:sz w:val="24"/>
          <w:szCs w:val="24"/>
        </w:rPr>
        <w:t>Citizens Advice</w:t>
      </w:r>
      <w:r w:rsidR="00B83F2D">
        <w:rPr>
          <w:sz w:val="24"/>
          <w:szCs w:val="24"/>
        </w:rPr>
        <w:t xml:space="preserve"> Consumer Services</w:t>
      </w:r>
      <w:r w:rsidRPr="00D17D8E">
        <w:rPr>
          <w:sz w:val="24"/>
          <w:szCs w:val="24"/>
        </w:rPr>
        <w:t>; 03</w:t>
      </w:r>
      <w:r w:rsidR="003F3E14" w:rsidRPr="00D17D8E">
        <w:rPr>
          <w:sz w:val="24"/>
          <w:szCs w:val="24"/>
        </w:rPr>
        <w:t>454 04 05 06</w:t>
      </w:r>
    </w:p>
    <w:p w:rsidR="003B6827" w:rsidRDefault="003B6827" w:rsidP="00C22B1F"/>
    <w:p w:rsidR="005537A2" w:rsidRDefault="005537A2" w:rsidP="00C22B1F"/>
    <w:sectPr w:rsidR="005537A2" w:rsidSect="005537A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34" w:rsidRDefault="00971D34" w:rsidP="008B200E">
      <w:pPr>
        <w:spacing w:after="0" w:line="240" w:lineRule="auto"/>
      </w:pPr>
      <w:r>
        <w:separator/>
      </w:r>
    </w:p>
  </w:endnote>
  <w:endnote w:type="continuationSeparator" w:id="0">
    <w:p w:rsidR="00971D34" w:rsidRDefault="00971D34" w:rsidP="008B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34" w:rsidRDefault="00971D34" w:rsidP="008B200E">
      <w:pPr>
        <w:spacing w:after="0" w:line="240" w:lineRule="auto"/>
      </w:pPr>
      <w:r>
        <w:separator/>
      </w:r>
    </w:p>
  </w:footnote>
  <w:footnote w:type="continuationSeparator" w:id="0">
    <w:p w:rsidR="00971D34" w:rsidRDefault="00971D34" w:rsidP="008B2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12"/>
    <w:rsid w:val="00077C23"/>
    <w:rsid w:val="000A3C86"/>
    <w:rsid w:val="000F1DFB"/>
    <w:rsid w:val="000F2142"/>
    <w:rsid w:val="00135D7E"/>
    <w:rsid w:val="001408D9"/>
    <w:rsid w:val="00165247"/>
    <w:rsid w:val="00204DD1"/>
    <w:rsid w:val="00220B65"/>
    <w:rsid w:val="002374B9"/>
    <w:rsid w:val="0024549C"/>
    <w:rsid w:val="0026121F"/>
    <w:rsid w:val="003B6827"/>
    <w:rsid w:val="003C55CC"/>
    <w:rsid w:val="003E638E"/>
    <w:rsid w:val="003F3E14"/>
    <w:rsid w:val="00432717"/>
    <w:rsid w:val="00466B22"/>
    <w:rsid w:val="00467149"/>
    <w:rsid w:val="004C76F4"/>
    <w:rsid w:val="004D2FF9"/>
    <w:rsid w:val="00510212"/>
    <w:rsid w:val="005537A2"/>
    <w:rsid w:val="00596DBF"/>
    <w:rsid w:val="005A4DE7"/>
    <w:rsid w:val="005A4EF9"/>
    <w:rsid w:val="005F45DA"/>
    <w:rsid w:val="00672D4B"/>
    <w:rsid w:val="00693BBA"/>
    <w:rsid w:val="006A3FF3"/>
    <w:rsid w:val="006C39F6"/>
    <w:rsid w:val="006D7A90"/>
    <w:rsid w:val="00796B10"/>
    <w:rsid w:val="007A571D"/>
    <w:rsid w:val="008B200E"/>
    <w:rsid w:val="00921308"/>
    <w:rsid w:val="0093283E"/>
    <w:rsid w:val="00971D34"/>
    <w:rsid w:val="009B0449"/>
    <w:rsid w:val="009F5E04"/>
    <w:rsid w:val="00A046BE"/>
    <w:rsid w:val="00A46970"/>
    <w:rsid w:val="00B15E49"/>
    <w:rsid w:val="00B83F2D"/>
    <w:rsid w:val="00BD42A9"/>
    <w:rsid w:val="00C22B1F"/>
    <w:rsid w:val="00C80B84"/>
    <w:rsid w:val="00D10D91"/>
    <w:rsid w:val="00D17D8E"/>
    <w:rsid w:val="00D204CC"/>
    <w:rsid w:val="00D73FF2"/>
    <w:rsid w:val="00DF4980"/>
    <w:rsid w:val="00F9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F4"/>
    <w:rPr>
      <w:rFonts w:ascii="Segoe UI" w:hAnsi="Segoe UI" w:cs="Segoe UI"/>
      <w:sz w:val="18"/>
      <w:szCs w:val="18"/>
    </w:rPr>
  </w:style>
  <w:style w:type="paragraph" w:styleId="NormalWeb">
    <w:name w:val="Normal (Web)"/>
    <w:basedOn w:val="Normal"/>
    <w:uiPriority w:val="99"/>
    <w:semiHidden/>
    <w:unhideWhenUsed/>
    <w:rsid w:val="00467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7149"/>
    <w:rPr>
      <w:b/>
      <w:bCs/>
    </w:rPr>
  </w:style>
  <w:style w:type="character" w:styleId="Hyperlink">
    <w:name w:val="Hyperlink"/>
    <w:basedOn w:val="DefaultParagraphFont"/>
    <w:uiPriority w:val="99"/>
    <w:unhideWhenUsed/>
    <w:rsid w:val="00467149"/>
    <w:rPr>
      <w:color w:val="0000FF"/>
      <w:u w:val="single"/>
    </w:rPr>
  </w:style>
  <w:style w:type="character" w:styleId="UnresolvedMention">
    <w:name w:val="Unresolved Mention"/>
    <w:basedOn w:val="DefaultParagraphFont"/>
    <w:uiPriority w:val="99"/>
    <w:semiHidden/>
    <w:unhideWhenUsed/>
    <w:rsid w:val="005F45DA"/>
    <w:rPr>
      <w:color w:val="605E5C"/>
      <w:shd w:val="clear" w:color="auto" w:fill="E1DFDD"/>
    </w:rPr>
  </w:style>
  <w:style w:type="paragraph" w:styleId="Header">
    <w:name w:val="header"/>
    <w:basedOn w:val="Normal"/>
    <w:link w:val="HeaderChar"/>
    <w:uiPriority w:val="99"/>
    <w:unhideWhenUsed/>
    <w:rsid w:val="008B2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0E"/>
  </w:style>
  <w:style w:type="paragraph" w:styleId="Footer">
    <w:name w:val="footer"/>
    <w:basedOn w:val="Normal"/>
    <w:link w:val="FooterChar"/>
    <w:uiPriority w:val="99"/>
    <w:unhideWhenUsed/>
    <w:rsid w:val="008B2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9634/TFA_Landlord_and_Agent_Guidance_190722.pdf"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791280/TFA_Guidance_for_Tenan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2019-09-10T11:30:00Z</dcterms:created>
  <dcterms:modified xsi:type="dcterms:W3CDTF">2019-09-10T11:31:00Z</dcterms:modified>
</cp:coreProperties>
</file>